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4B6EC7" w:rsidP="00027A8D">
      <w:pPr>
        <w:spacing w:before="100" w:after="600" w:line="600" w:lineRule="atLeast"/>
        <w:ind w:right="-360"/>
        <w:jc w:val="center"/>
        <w:rPr>
          <w:rFonts w:ascii="Times New Roman" w:eastAsia="Times New Roman" w:hAnsi="Times New Roman" w:cs="Times New Roman"/>
          <w:spacing w:val="-34"/>
          <w:sz w:val="60"/>
          <w:szCs w:val="20"/>
          <w:lang w:val="en-AU" w:eastAsia="hr-HR"/>
        </w:rPr>
      </w:pPr>
      <w:r w:rsidRPr="00B51B20">
        <w:rPr>
          <w:rFonts w:ascii="Times New Roman" w:eastAsia="Times New Roman" w:hAnsi="Times New Roman" w:cs="Times New Roman"/>
          <w:spacing w:val="-34"/>
          <w:sz w:val="60"/>
          <w:szCs w:val="20"/>
          <w:lang w:val="en-AU" w:eastAsia="hr-HR"/>
        </w:rPr>
        <w:t>Hrvatsko</w:t>
      </w:r>
      <w:r w:rsidR="002E1205">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narodno</w:t>
      </w:r>
      <w:r w:rsidR="002E1205">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kazalište u Zagrebu</w:t>
      </w:r>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Trg Republike Hrvatske  15    p.p. 257    10000</w:t>
      </w:r>
      <w:r w:rsidR="004B6EC7" w:rsidRPr="00B51B20">
        <w:rPr>
          <w:rFonts w:ascii="Times New Roman" w:eastAsia="Times New Roman" w:hAnsi="Times New Roman" w:cs="Times New Roman"/>
          <w:b/>
          <w:sz w:val="24"/>
          <w:szCs w:val="20"/>
          <w:lang w:val="en-AU" w:eastAsia="hr-HR"/>
        </w:rPr>
        <w:t xml:space="preserve"> Zagreb,     Hrvatska</w:t>
      </w:r>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516067" w:rsidRDefault="00516067" w:rsidP="004B6EC7">
      <w:pPr>
        <w:spacing w:after="0" w:line="240" w:lineRule="auto"/>
        <w:rPr>
          <w:rFonts w:ascii="Times New Roman" w:eastAsia="Times New Roman" w:hAnsi="Times New Roman" w:cs="Times New Roman"/>
          <w:sz w:val="24"/>
          <w:szCs w:val="24"/>
          <w:lang w:eastAsia="hr-HR"/>
        </w:rPr>
      </w:pP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511D2B">
        <w:rPr>
          <w:rFonts w:ascii="Times New Roman" w:hAnsi="Times New Roman" w:cs="Times New Roman"/>
          <w:sz w:val="24"/>
          <w:szCs w:val="24"/>
        </w:rPr>
        <w:t>ELEKTRO</w:t>
      </w:r>
      <w:r w:rsidR="003D7317">
        <w:rPr>
          <w:rFonts w:ascii="Times New Roman" w:hAnsi="Times New Roman" w:cs="Times New Roman"/>
          <w:sz w:val="24"/>
          <w:szCs w:val="24"/>
        </w:rPr>
        <w:t>TEH</w:t>
      </w:r>
      <w:r w:rsidR="00511D2B">
        <w:rPr>
          <w:rFonts w:ascii="Times New Roman" w:hAnsi="Times New Roman" w:cs="Times New Roman"/>
          <w:sz w:val="24"/>
          <w:szCs w:val="24"/>
        </w:rPr>
        <w:t>NIČKA INSTALACIJA</w:t>
      </w:r>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027A8D" w:rsidRDefault="004B6EC7" w:rsidP="00027A8D">
      <w:pPr>
        <w:spacing w:after="120" w:line="240" w:lineRule="auto"/>
        <w:jc w:val="both"/>
        <w:rPr>
          <w:b/>
          <w:i/>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511D2B">
        <w:rPr>
          <w:rFonts w:ascii="Times New Roman" w:hAnsi="Times New Roman" w:cs="Times New Roman"/>
          <w:sz w:val="24"/>
          <w:szCs w:val="24"/>
        </w:rPr>
        <w:t>RADOVI ZAMJENE I DOGRADNJE ELEKTROTEHNIČKIH INSTALACIJA ZA PO</w:t>
      </w:r>
      <w:r w:rsidR="00027A8D">
        <w:rPr>
          <w:rFonts w:ascii="Times New Roman" w:hAnsi="Times New Roman" w:cs="Times New Roman"/>
          <w:sz w:val="24"/>
          <w:szCs w:val="24"/>
        </w:rPr>
        <w:t>T</w:t>
      </w:r>
      <w:r w:rsidR="00511D2B">
        <w:rPr>
          <w:rFonts w:ascii="Times New Roman" w:hAnsi="Times New Roman" w:cs="Times New Roman"/>
          <w:sz w:val="24"/>
          <w:szCs w:val="24"/>
        </w:rPr>
        <w:t xml:space="preserve">REBE </w:t>
      </w:r>
      <w:r w:rsidR="00027A8D">
        <w:rPr>
          <w:rFonts w:ascii="Times New Roman" w:hAnsi="Times New Roman" w:cs="Times New Roman"/>
          <w:sz w:val="24"/>
          <w:szCs w:val="24"/>
        </w:rPr>
        <w:t xml:space="preserve">RADA </w:t>
      </w:r>
      <w:r w:rsidR="00511D2B">
        <w:rPr>
          <w:rFonts w:ascii="Times New Roman" w:hAnsi="Times New Roman" w:cs="Times New Roman"/>
          <w:sz w:val="24"/>
          <w:szCs w:val="24"/>
        </w:rPr>
        <w:t xml:space="preserve">AUDIO OPREME </w:t>
      </w:r>
      <w:r w:rsidR="00D244AF">
        <w:rPr>
          <w:rFonts w:ascii="Times New Roman" w:hAnsi="Times New Roman" w:cs="Times New Roman"/>
          <w:b/>
          <w:lang w:val="en-US"/>
        </w:rPr>
        <w:t>(</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027A8D" w:rsidRDefault="00027A8D" w:rsidP="00027A8D">
      <w:pPr>
        <w:spacing w:after="120" w:line="240" w:lineRule="auto"/>
        <w:jc w:val="both"/>
        <w:rPr>
          <w:b/>
          <w:i/>
        </w:rPr>
      </w:pPr>
    </w:p>
    <w:p w:rsidR="009C41D3" w:rsidRDefault="009C41D3" w:rsidP="00027A8D">
      <w:pPr>
        <w:spacing w:after="120" w:line="240" w:lineRule="auto"/>
        <w:jc w:val="both"/>
        <w:rPr>
          <w:b/>
          <w:i/>
        </w:rPr>
      </w:pPr>
      <w:r w:rsidRPr="005A2FCF">
        <w:rPr>
          <w:b/>
          <w:i/>
        </w:rPr>
        <w:t xml:space="preserve">UVJETI </w:t>
      </w:r>
      <w:r>
        <w:rPr>
          <w:b/>
          <w:i/>
        </w:rPr>
        <w:t>IZVRŠENJA USLUGE</w:t>
      </w:r>
      <w:r w:rsidRPr="005A2FCF">
        <w:rPr>
          <w:b/>
          <w:i/>
        </w:rPr>
        <w:t>:</w:t>
      </w:r>
    </w:p>
    <w:p w:rsidR="009C41D3" w:rsidRDefault="009C41D3" w:rsidP="009C41D3"/>
    <w:p w:rsidR="009C41D3" w:rsidRDefault="009C41D3" w:rsidP="009C41D3">
      <w:pPr>
        <w:pStyle w:val="ListParagraph"/>
        <w:numPr>
          <w:ilvl w:val="0"/>
          <w:numId w:val="9"/>
        </w:numPr>
        <w:spacing w:after="0" w:line="240" w:lineRule="auto"/>
        <w:ind w:left="714" w:hanging="357"/>
        <w:jc w:val="both"/>
      </w:pPr>
      <w:r>
        <w:t xml:space="preserve">Izvršitelj se obavezuje za ponuđenu stavku </w:t>
      </w:r>
      <w:r w:rsidR="00027A8D">
        <w:t xml:space="preserve">u Troškovniku (komplet) </w:t>
      </w:r>
      <w:r>
        <w:t xml:space="preserve">osigurati sve potrebno za izvedbu </w:t>
      </w:r>
      <w:r w:rsidR="00027A8D">
        <w:t xml:space="preserve">svih radova - </w:t>
      </w:r>
      <w:r>
        <w:t>u materijalima i montaži elektrotehničke opreme</w:t>
      </w:r>
      <w:r w:rsidR="00027A8D">
        <w:t xml:space="preserve"> i</w:t>
      </w:r>
      <w:r>
        <w:t xml:space="preserve"> instalacija. Svi potrebni reparaturni repromaterijali i dodatni rad mora</w:t>
      </w:r>
      <w:r w:rsidR="00027A8D">
        <w:t>ju</w:t>
      </w:r>
      <w:r>
        <w:t xml:space="preserve"> biti uključen u cijenu.</w:t>
      </w:r>
    </w:p>
    <w:p w:rsidR="00D30D44" w:rsidRPr="00741965" w:rsidRDefault="00D30D44" w:rsidP="00673908">
      <w:pPr>
        <w:autoSpaceDE w:val="0"/>
        <w:autoSpaceDN w:val="0"/>
        <w:adjustRightInd w:val="0"/>
        <w:spacing w:after="0" w:line="240" w:lineRule="auto"/>
        <w:jc w:val="both"/>
        <w:rPr>
          <w:rFonts w:ascii="Times New Roman" w:hAnsi="Times New Roman" w:cs="Times New Roman"/>
          <w:sz w:val="24"/>
          <w:szCs w:val="24"/>
        </w:rPr>
      </w:pP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511D2B">
        <w:rPr>
          <w:rFonts w:ascii="Times New Roman" w:hAnsi="Times New Roman" w:cs="Times New Roman"/>
          <w:sz w:val="24"/>
          <w:szCs w:val="24"/>
        </w:rPr>
        <w:t>50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rsidR="00673908"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511D2B">
        <w:rPr>
          <w:rFonts w:ascii="Times New Roman" w:eastAsia="Times New Roman" w:hAnsi="Times New Roman" w:cs="Times New Roman"/>
          <w:sz w:val="24"/>
          <w:szCs w:val="24"/>
          <w:lang w:eastAsia="hr-HR"/>
        </w:rPr>
        <w:t>–63</w:t>
      </w:r>
      <w:r w:rsidR="00D244AF">
        <w:rPr>
          <w:rFonts w:ascii="Times New Roman" w:eastAsia="Times New Roman" w:hAnsi="Times New Roman" w:cs="Times New Roman"/>
          <w:sz w:val="24"/>
          <w:szCs w:val="24"/>
          <w:lang w:eastAsia="hr-HR"/>
        </w:rPr>
        <w:t>/20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9C41D3" w:rsidRDefault="009C41D3" w:rsidP="00CE43F3">
      <w:pPr>
        <w:pStyle w:val="Heading1"/>
      </w:pPr>
    </w:p>
    <w:p w:rsidR="004B6EC7" w:rsidRPr="00CE43F3" w:rsidRDefault="004B6EC7" w:rsidP="00CE43F3">
      <w:pPr>
        <w:pStyle w:val="Heading1"/>
      </w:pPr>
      <w:r w:rsidRPr="00741965">
        <w:t>2. UVJETI NABAVE</w:t>
      </w:r>
    </w:p>
    <w:p w:rsidR="0043122D" w:rsidRDefault="0043122D" w:rsidP="00645730">
      <w:pPr>
        <w:autoSpaceDE w:val="0"/>
        <w:autoSpaceDN w:val="0"/>
        <w:adjustRightInd w:val="0"/>
        <w:spacing w:after="0" w:line="240" w:lineRule="auto"/>
        <w:jc w:val="both"/>
        <w:rPr>
          <w:rFonts w:ascii="Times New Roman" w:hAnsi="Times New Roman" w:cs="Times New Roman"/>
          <w:b/>
          <w:bCs/>
          <w:sz w:val="24"/>
          <w:szCs w:val="24"/>
        </w:rPr>
      </w:pPr>
    </w:p>
    <w:p w:rsidR="0043122D" w:rsidRDefault="004B6EC7" w:rsidP="00645730">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izvršenja: </w:t>
      </w:r>
    </w:p>
    <w:p w:rsidR="00645730" w:rsidRPr="004A6BA7" w:rsidRDefault="00027A8D" w:rsidP="0064573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Radovi navedeni u Troškovniku ovog Poziva na dostavu ponuda </w:t>
      </w:r>
      <w:r w:rsidR="00645730" w:rsidRPr="004A6BA7">
        <w:rPr>
          <w:rFonts w:ascii="Times New Roman" w:hAnsi="Times New Roman"/>
          <w:color w:val="000000" w:themeColor="text1"/>
          <w:sz w:val="24"/>
          <w:szCs w:val="24"/>
        </w:rPr>
        <w:t>se smatra</w:t>
      </w:r>
      <w:r>
        <w:rPr>
          <w:rFonts w:ascii="Times New Roman" w:hAnsi="Times New Roman"/>
          <w:color w:val="000000" w:themeColor="text1"/>
          <w:sz w:val="24"/>
          <w:szCs w:val="24"/>
        </w:rPr>
        <w:t>ju izvedenima</w:t>
      </w:r>
      <w:r w:rsidR="00645730" w:rsidRPr="004A6BA7">
        <w:rPr>
          <w:rFonts w:ascii="Times New Roman" w:hAnsi="Times New Roman"/>
          <w:color w:val="000000" w:themeColor="text1"/>
          <w:sz w:val="24"/>
          <w:szCs w:val="24"/>
        </w:rPr>
        <w:t xml:space="preserve"> nakon uspješno obavljenih radova. </w:t>
      </w:r>
    </w:p>
    <w:p w:rsidR="00645730" w:rsidRPr="004A6BA7" w:rsidRDefault="00645730" w:rsidP="00645730">
      <w:pPr>
        <w:autoSpaceDE w:val="0"/>
        <w:autoSpaceDN w:val="0"/>
        <w:adjustRightInd w:val="0"/>
        <w:spacing w:after="0" w:line="240" w:lineRule="auto"/>
        <w:jc w:val="both"/>
        <w:rPr>
          <w:rFonts w:ascii="Times New Roman" w:hAnsi="Times New Roman"/>
          <w:color w:val="000000" w:themeColor="text1"/>
          <w:sz w:val="24"/>
          <w:szCs w:val="24"/>
        </w:rPr>
      </w:pPr>
      <w:r w:rsidRPr="004A6BA7">
        <w:rPr>
          <w:rFonts w:ascii="Times New Roman" w:hAnsi="Times New Roman"/>
          <w:color w:val="000000" w:themeColor="text1"/>
          <w:sz w:val="24"/>
          <w:szCs w:val="24"/>
        </w:rPr>
        <w:t xml:space="preserve">Uspješno obavljeni radovi se potvrđuje potpisom Zapisnika o uredno </w:t>
      </w:r>
      <w:r w:rsidR="00027A8D">
        <w:rPr>
          <w:rFonts w:ascii="Times New Roman" w:hAnsi="Times New Roman"/>
          <w:color w:val="000000" w:themeColor="text1"/>
          <w:sz w:val="24"/>
          <w:szCs w:val="24"/>
        </w:rPr>
        <w:t>izved</w:t>
      </w:r>
      <w:r w:rsidRPr="004A6BA7">
        <w:rPr>
          <w:rFonts w:ascii="Times New Roman" w:hAnsi="Times New Roman"/>
          <w:color w:val="000000" w:themeColor="text1"/>
          <w:sz w:val="24"/>
          <w:szCs w:val="24"/>
        </w:rPr>
        <w:t>eni</w:t>
      </w:r>
      <w:r w:rsidR="00027A8D">
        <w:rPr>
          <w:rFonts w:ascii="Times New Roman" w:hAnsi="Times New Roman"/>
          <w:color w:val="000000" w:themeColor="text1"/>
          <w:sz w:val="24"/>
          <w:szCs w:val="24"/>
        </w:rPr>
        <w:t>m</w:t>
      </w:r>
      <w:r w:rsidRPr="004A6BA7">
        <w:rPr>
          <w:rFonts w:ascii="Times New Roman" w:hAnsi="Times New Roman"/>
          <w:color w:val="000000" w:themeColor="text1"/>
          <w:sz w:val="24"/>
          <w:szCs w:val="24"/>
        </w:rPr>
        <w:t xml:space="preserve"> radov</w:t>
      </w:r>
      <w:r w:rsidR="00027A8D">
        <w:rPr>
          <w:rFonts w:ascii="Times New Roman" w:hAnsi="Times New Roman"/>
          <w:color w:val="000000" w:themeColor="text1"/>
          <w:sz w:val="24"/>
          <w:szCs w:val="24"/>
        </w:rPr>
        <w:t>im</w:t>
      </w:r>
      <w:r w:rsidRPr="004A6BA7">
        <w:rPr>
          <w:rFonts w:ascii="Times New Roman" w:hAnsi="Times New Roman"/>
          <w:color w:val="000000" w:themeColor="text1"/>
          <w:sz w:val="24"/>
          <w:szCs w:val="24"/>
        </w:rPr>
        <w:t>a</w:t>
      </w:r>
      <w:r w:rsidR="00027A8D">
        <w:rPr>
          <w:rFonts w:ascii="Times New Roman" w:hAnsi="Times New Roman"/>
          <w:color w:val="000000" w:themeColor="text1"/>
          <w:sz w:val="24"/>
          <w:szCs w:val="24"/>
        </w:rPr>
        <w:t xml:space="preserve">, nakon čega izvođač radova ispostavlja samo jedan e-račun za sve izvedene radove. </w:t>
      </w:r>
    </w:p>
    <w:p w:rsidR="00645730" w:rsidRPr="004A6BA7" w:rsidRDefault="00645730" w:rsidP="00645730">
      <w:pPr>
        <w:autoSpaceDE w:val="0"/>
        <w:autoSpaceDN w:val="0"/>
        <w:adjustRightInd w:val="0"/>
        <w:spacing w:after="0" w:line="240" w:lineRule="auto"/>
        <w:jc w:val="both"/>
        <w:rPr>
          <w:rFonts w:ascii="Times New Roman" w:hAnsi="Times New Roman"/>
          <w:color w:val="000000" w:themeColor="text1"/>
          <w:sz w:val="24"/>
          <w:szCs w:val="24"/>
        </w:rPr>
      </w:pPr>
    </w:p>
    <w:p w:rsidR="00645730" w:rsidRPr="004A6BA7" w:rsidRDefault="00645730" w:rsidP="00645730">
      <w:pPr>
        <w:autoSpaceDE w:val="0"/>
        <w:autoSpaceDN w:val="0"/>
        <w:adjustRightInd w:val="0"/>
        <w:spacing w:after="0" w:line="240" w:lineRule="auto"/>
        <w:jc w:val="both"/>
        <w:rPr>
          <w:rFonts w:ascii="Times New Roman" w:hAnsi="Times New Roman"/>
          <w:color w:val="000000" w:themeColor="text1"/>
          <w:sz w:val="24"/>
          <w:szCs w:val="24"/>
        </w:rPr>
      </w:pPr>
      <w:r w:rsidRPr="004A6BA7">
        <w:rPr>
          <w:rFonts w:ascii="Times New Roman" w:hAnsi="Times New Roman"/>
          <w:color w:val="000000" w:themeColor="text1"/>
          <w:sz w:val="24"/>
          <w:szCs w:val="24"/>
        </w:rPr>
        <w:t>Naručitelj se obvezuje e-račun platiti u roku od 30 dana od dana zaprimanja e-računa. Naručitelj ne izdaje nikakva sredstva osiguranja plaćanja.</w:t>
      </w:r>
    </w:p>
    <w:p w:rsidR="00645730" w:rsidRPr="004A6BA7" w:rsidRDefault="00645730" w:rsidP="00645730">
      <w:pPr>
        <w:autoSpaceDE w:val="0"/>
        <w:autoSpaceDN w:val="0"/>
        <w:adjustRightInd w:val="0"/>
        <w:spacing w:after="0" w:line="240" w:lineRule="auto"/>
        <w:jc w:val="both"/>
        <w:rPr>
          <w:rFonts w:ascii="Times New Roman" w:hAnsi="Times New Roman"/>
          <w:color w:val="000000" w:themeColor="text1"/>
          <w:sz w:val="24"/>
          <w:szCs w:val="24"/>
        </w:rPr>
      </w:pP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2</w:t>
      </w:r>
      <w:r w:rsidR="008839AE">
        <w:rPr>
          <w:rFonts w:ascii="Times New Roman" w:hAnsi="Times New Roman" w:cs="Times New Roman"/>
          <w:b/>
          <w:bCs/>
          <w:sz w:val="24"/>
          <w:szCs w:val="24"/>
        </w:rPr>
        <w:t xml:space="preserve"> mjesec</w:t>
      </w:r>
      <w:r w:rsidR="00027A8D">
        <w:rPr>
          <w:rFonts w:ascii="Times New Roman" w:hAnsi="Times New Roman" w:cs="Times New Roman"/>
          <w:b/>
          <w:bCs/>
          <w:sz w:val="24"/>
          <w:szCs w:val="24"/>
        </w:rPr>
        <w:t>a</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2"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w:t>
      </w:r>
      <w:r w:rsidR="00027A8D">
        <w:rPr>
          <w:rFonts w:ascii="Times New Roman" w:hAnsi="Times New Roman" w:cs="Times New Roman"/>
          <w:b/>
          <w:bCs/>
          <w:sz w:val="24"/>
          <w:szCs w:val="24"/>
        </w:rPr>
        <w:t>ođenja radova</w:t>
      </w:r>
      <w:r w:rsidRPr="00741965">
        <w:rPr>
          <w:rFonts w:ascii="Times New Roman" w:hAnsi="Times New Roman" w:cs="Times New Roman"/>
          <w:b/>
          <w:bCs/>
          <w:sz w:val="24"/>
          <w:szCs w:val="24"/>
        </w:rPr>
        <w:t xml:space="preserve">: </w:t>
      </w:r>
      <w:r w:rsidR="001C6DD4">
        <w:rPr>
          <w:rFonts w:ascii="Times New Roman" w:hAnsi="Times New Roman" w:cs="Times New Roman"/>
          <w:sz w:val="24"/>
          <w:szCs w:val="24"/>
        </w:rPr>
        <w:t xml:space="preserve"> Izv</w:t>
      </w:r>
      <w:r w:rsidR="00027A8D">
        <w:rPr>
          <w:rFonts w:ascii="Times New Roman" w:hAnsi="Times New Roman" w:cs="Times New Roman"/>
          <w:sz w:val="24"/>
          <w:szCs w:val="24"/>
        </w:rPr>
        <w:t>ođač izvodi radove</w:t>
      </w:r>
      <w:r w:rsidR="00462A9D">
        <w:rPr>
          <w:rFonts w:ascii="Times New Roman" w:hAnsi="Times New Roman" w:cs="Times New Roman"/>
          <w:sz w:val="24"/>
          <w:szCs w:val="24"/>
        </w:rPr>
        <w:t xml:space="preserve"> na adres</w:t>
      </w:r>
      <w:r w:rsidR="00027A8D">
        <w:rPr>
          <w:rFonts w:ascii="Times New Roman" w:hAnsi="Times New Roman" w:cs="Times New Roman"/>
          <w:sz w:val="24"/>
          <w:szCs w:val="24"/>
        </w:rPr>
        <w:t>i</w:t>
      </w:r>
      <w:r w:rsidR="00462A9D">
        <w:rPr>
          <w:rFonts w:ascii="Times New Roman" w:hAnsi="Times New Roman" w:cs="Times New Roman"/>
          <w:sz w:val="24"/>
          <w:szCs w:val="24"/>
        </w:rPr>
        <w:t xml:space="preserve"> Naručitelja</w:t>
      </w:r>
      <w:r w:rsidR="001C6DD4" w:rsidRPr="001C6DD4">
        <w:rPr>
          <w:rFonts w:ascii="Times New Roman" w:hAnsi="Times New Roman" w:cs="Times New Roman"/>
          <w:sz w:val="24"/>
          <w:szCs w:val="24"/>
        </w:rPr>
        <w:t xml:space="preserve"> (Trg Republike Hrva</w:t>
      </w:r>
      <w:r w:rsidR="0043122D">
        <w:rPr>
          <w:rFonts w:ascii="Times New Roman" w:hAnsi="Times New Roman" w:cs="Times New Roman"/>
          <w:sz w:val="24"/>
          <w:szCs w:val="24"/>
        </w:rPr>
        <w:t>tske 15</w:t>
      </w:r>
      <w:r w:rsidR="00462A9D">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Obračun i naplata vršiti će se nakon potpisom prihvaćen</w:t>
      </w:r>
      <w:r w:rsidR="00027A8D">
        <w:rPr>
          <w:rFonts w:ascii="Times New Roman" w:hAnsi="Times New Roman" w:cs="Times New Roman"/>
          <w:sz w:val="24"/>
          <w:szCs w:val="24"/>
        </w:rPr>
        <w:t>oge-</w:t>
      </w:r>
      <w:r w:rsidR="00673908" w:rsidRPr="00673908">
        <w:rPr>
          <w:rFonts w:ascii="Times New Roman" w:hAnsi="Times New Roman" w:cs="Times New Roman"/>
          <w:sz w:val="24"/>
          <w:szCs w:val="24"/>
        </w:rPr>
        <w:t>računa od strane Naručitelja, a sve pr</w:t>
      </w:r>
      <w:r w:rsidR="0043122D">
        <w:rPr>
          <w:rFonts w:ascii="Times New Roman" w:hAnsi="Times New Roman" w:cs="Times New Roman"/>
          <w:sz w:val="24"/>
          <w:szCs w:val="24"/>
        </w:rPr>
        <w:t xml:space="preserve">ema </w:t>
      </w:r>
      <w:r w:rsidR="00027A8D">
        <w:rPr>
          <w:rFonts w:ascii="Times New Roman" w:hAnsi="Times New Roman" w:cs="Times New Roman"/>
          <w:sz w:val="24"/>
          <w:szCs w:val="24"/>
        </w:rPr>
        <w:t>ugovorenim</w:t>
      </w:r>
      <w:r w:rsidR="0043122D">
        <w:rPr>
          <w:rFonts w:ascii="Times New Roman" w:hAnsi="Times New Roman" w:cs="Times New Roman"/>
          <w:sz w:val="24"/>
          <w:szCs w:val="24"/>
        </w:rPr>
        <w:t xml:space="preserve"> radovima</w:t>
      </w:r>
      <w:r w:rsidR="00673908" w:rsidRPr="00673908">
        <w:rPr>
          <w:rFonts w:ascii="Times New Roman" w:hAnsi="Times New Roman" w:cs="Times New Roman"/>
          <w:sz w:val="24"/>
          <w:szCs w:val="24"/>
        </w:rPr>
        <w:t xml:space="preserve"> iz troškovnika. </w:t>
      </w:r>
    </w:p>
    <w:p w:rsidR="00F55EBE" w:rsidRPr="00673908" w:rsidRDefault="00462A9D" w:rsidP="00F55E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Račun se ispostavlja nakon </w:t>
      </w:r>
      <w:r w:rsidR="00027A8D">
        <w:rPr>
          <w:rFonts w:ascii="Times New Roman" w:hAnsi="Times New Roman" w:cs="Times New Roman"/>
          <w:sz w:val="24"/>
          <w:szCs w:val="24"/>
        </w:rPr>
        <w:t>kompletno izvedenih radova</w:t>
      </w:r>
      <w:r>
        <w:rPr>
          <w:rFonts w:ascii="Times New Roman" w:hAnsi="Times New Roman" w:cs="Times New Roman"/>
          <w:sz w:val="24"/>
          <w:szCs w:val="24"/>
        </w:rPr>
        <w:t>.</w:t>
      </w:r>
      <w:r w:rsidR="00027A8D">
        <w:rPr>
          <w:rFonts w:ascii="Times New Roman" w:hAnsi="Times New Roman" w:cs="Times New Roman"/>
          <w:sz w:val="24"/>
          <w:szCs w:val="24"/>
        </w:rPr>
        <w:t xml:space="preserve"> Nije dopušteno izdavati više računa za djelomično izvedene radove.</w:t>
      </w:r>
    </w:p>
    <w:p w:rsidR="00027A8D" w:rsidRDefault="00027A8D" w:rsidP="00027A8D">
      <w:pPr>
        <w:autoSpaceDE w:val="0"/>
        <w:autoSpaceDN w:val="0"/>
        <w:adjustRightInd w:val="0"/>
        <w:spacing w:after="0" w:line="240" w:lineRule="auto"/>
        <w:jc w:val="both"/>
        <w:rPr>
          <w:rFonts w:ascii="Times New Roman" w:hAnsi="Times New Roman"/>
          <w:color w:val="000000" w:themeColor="text1"/>
          <w:sz w:val="24"/>
          <w:szCs w:val="24"/>
        </w:rPr>
      </w:pPr>
      <w:bookmarkStart w:id="3" w:name="_Hlk41477142"/>
      <w:bookmarkEnd w:id="2"/>
    </w:p>
    <w:p w:rsidR="00027A8D" w:rsidRPr="004A6BA7" w:rsidRDefault="00027A8D" w:rsidP="00027A8D">
      <w:pPr>
        <w:autoSpaceDE w:val="0"/>
        <w:autoSpaceDN w:val="0"/>
        <w:adjustRightInd w:val="0"/>
        <w:spacing w:after="0" w:line="240" w:lineRule="auto"/>
        <w:jc w:val="both"/>
        <w:rPr>
          <w:rFonts w:ascii="Times New Roman" w:hAnsi="Times New Roman"/>
          <w:color w:val="000000" w:themeColor="text1"/>
          <w:sz w:val="24"/>
          <w:szCs w:val="24"/>
        </w:rPr>
      </w:pPr>
      <w:r w:rsidRPr="004A6BA7">
        <w:rPr>
          <w:rFonts w:ascii="Times New Roman" w:hAnsi="Times New Roman"/>
          <w:color w:val="000000" w:themeColor="text1"/>
          <w:sz w:val="24"/>
          <w:szCs w:val="24"/>
        </w:rPr>
        <w:t>Sukladno odredbama Zakona o elektroničkom izdavanju računa u javnoj nabavi Naručitelj će počevši najkasnije od 1.7.2019. godine zaprimati isključivo elektroničke račune.</w:t>
      </w:r>
    </w:p>
    <w:p w:rsidR="00027A8D" w:rsidRPr="004A6BA7" w:rsidRDefault="00027A8D" w:rsidP="00027A8D">
      <w:pPr>
        <w:autoSpaceDE w:val="0"/>
        <w:autoSpaceDN w:val="0"/>
        <w:adjustRightInd w:val="0"/>
        <w:spacing w:after="0" w:line="240" w:lineRule="auto"/>
        <w:jc w:val="both"/>
        <w:rPr>
          <w:rFonts w:ascii="Times New Roman" w:hAnsi="Times New Roman"/>
          <w:color w:val="000000" w:themeColor="text1"/>
          <w:sz w:val="24"/>
          <w:szCs w:val="24"/>
        </w:rPr>
      </w:pPr>
      <w:r w:rsidRPr="004A6BA7">
        <w:rPr>
          <w:rFonts w:ascii="Times New Roman" w:hAnsi="Times New Roman"/>
          <w:color w:val="000000" w:themeColor="text1"/>
          <w:sz w:val="24"/>
          <w:szCs w:val="24"/>
        </w:rPr>
        <w:t>Ukoliko Isporučitelj pošalje papirnati račun, Naručitelj ga neće moći zaprimiti, a Isporučitelj se neće moći naplatiti za izvedene radove.</w:t>
      </w:r>
    </w:p>
    <w:p w:rsidR="00027A8D" w:rsidRPr="004A6BA7" w:rsidRDefault="00027A8D" w:rsidP="00027A8D">
      <w:pPr>
        <w:autoSpaceDE w:val="0"/>
        <w:autoSpaceDN w:val="0"/>
        <w:adjustRightInd w:val="0"/>
        <w:spacing w:after="0" w:line="240" w:lineRule="auto"/>
        <w:jc w:val="both"/>
        <w:rPr>
          <w:rFonts w:ascii="Times New Roman" w:hAnsi="Times New Roman"/>
          <w:color w:val="000000" w:themeColor="text1"/>
          <w:sz w:val="24"/>
          <w:szCs w:val="24"/>
        </w:rPr>
      </w:pPr>
      <w:r w:rsidRPr="004A6BA7">
        <w:rPr>
          <w:rFonts w:ascii="Times New Roman" w:hAnsi="Times New Roman"/>
          <w:color w:val="000000" w:themeColor="text1"/>
          <w:sz w:val="24"/>
          <w:szCs w:val="24"/>
        </w:rPr>
        <w:t>Naručitelj se obvezuje u roku od trideset (30) dana od dana primitka neprijepornog odobrenog e-računa, izvršiti plaćanje u skladu s cijenama iz prihvaćene ponude Dobavljača na račun Dobavljača.</w:t>
      </w:r>
    </w:p>
    <w:p w:rsidR="0043122D" w:rsidRDefault="0043122D" w:rsidP="002D7F06">
      <w:pPr>
        <w:autoSpaceDE w:val="0"/>
        <w:autoSpaceDN w:val="0"/>
        <w:adjustRightInd w:val="0"/>
        <w:spacing w:line="240" w:lineRule="auto"/>
        <w:jc w:val="both"/>
        <w:rPr>
          <w:rFonts w:ascii="Times New Roman" w:hAnsi="Times New Roman" w:cs="Times New Roman"/>
          <w:b/>
          <w:bCs/>
          <w:sz w:val="24"/>
          <w:szCs w:val="24"/>
        </w:rPr>
      </w:pPr>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027A8D">
        <w:rPr>
          <w:rFonts w:ascii="Times New Roman" w:hAnsi="Times New Roman" w:cs="Times New Roman"/>
          <w:sz w:val="24"/>
          <w:szCs w:val="24"/>
        </w:rPr>
        <w:t>2mjeseca</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3"/>
    <w:p w:rsidR="003D32D6" w:rsidRPr="004A6BA7" w:rsidRDefault="003D32D6" w:rsidP="002D7F06">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4A6BA7" w:rsidRPr="004A6BA7" w:rsidRDefault="004A6BA7" w:rsidP="004A6BA7">
      <w:pPr>
        <w:autoSpaceDE w:val="0"/>
        <w:autoSpaceDN w:val="0"/>
        <w:adjustRightInd w:val="0"/>
        <w:spacing w:after="0" w:line="240" w:lineRule="auto"/>
        <w:jc w:val="both"/>
        <w:rPr>
          <w:rFonts w:ascii="Times New Roman" w:hAnsi="Times New Roman"/>
          <w:color w:val="000000" w:themeColor="text1"/>
          <w:sz w:val="24"/>
          <w:szCs w:val="24"/>
        </w:rPr>
      </w:pPr>
      <w:bookmarkStart w:id="4" w:name="_Hlk41478012"/>
      <w:r w:rsidRPr="004A6BA7">
        <w:rPr>
          <w:rFonts w:ascii="Times New Roman" w:hAnsi="Times New Roman"/>
          <w:b/>
          <w:bCs/>
          <w:color w:val="000000" w:themeColor="text1"/>
          <w:sz w:val="24"/>
          <w:szCs w:val="24"/>
        </w:rPr>
        <w:t xml:space="preserve">količine predmeta nabave: </w:t>
      </w:r>
      <w:r w:rsidRPr="004A6BA7">
        <w:rPr>
          <w:rFonts w:ascii="Times New Roman" w:hAnsi="Times New Roman"/>
          <w:color w:val="000000" w:themeColor="text1"/>
          <w:sz w:val="24"/>
          <w:szCs w:val="24"/>
        </w:rPr>
        <w:t>Sukladno članku 4. stavku 1., alineji 1. Pravilnika o dokumentaciji o nabavi te ponudi u postupcima javne nabave (Narodne novine br. 65/2017 i 75/; dalje: Pravilnik), Naručitelj je u ovom postupku jednostavne nabave odredio točnu količinu stav</w:t>
      </w:r>
      <w:r w:rsidR="00027A8D">
        <w:rPr>
          <w:rFonts w:ascii="Times New Roman" w:hAnsi="Times New Roman"/>
          <w:color w:val="000000" w:themeColor="text1"/>
          <w:sz w:val="24"/>
          <w:szCs w:val="24"/>
        </w:rPr>
        <w:t xml:space="preserve">ke </w:t>
      </w:r>
      <w:r w:rsidRPr="004A6BA7">
        <w:rPr>
          <w:rFonts w:ascii="Times New Roman" w:hAnsi="Times New Roman"/>
          <w:color w:val="000000" w:themeColor="text1"/>
          <w:sz w:val="24"/>
          <w:szCs w:val="24"/>
        </w:rPr>
        <w:t xml:space="preserve">troškovnika. </w:t>
      </w:r>
    </w:p>
    <w:p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2D7F06" w:rsidRDefault="002D7F06" w:rsidP="002D7F06">
      <w:pPr>
        <w:autoSpaceDE w:val="0"/>
        <w:autoSpaceDN w:val="0"/>
        <w:adjustRightInd w:val="0"/>
        <w:spacing w:after="0" w:line="240" w:lineRule="auto"/>
        <w:jc w:val="both"/>
        <w:rPr>
          <w:rFonts w:ascii="Times New Roman" w:hAnsi="Times New Roman" w:cs="Times New Roman"/>
          <w:sz w:val="24"/>
          <w:szCs w:val="24"/>
        </w:rPr>
      </w:pPr>
    </w:p>
    <w:bookmarkEnd w:id="4"/>
    <w:p w:rsidR="00027A8D" w:rsidRDefault="00027A8D">
      <w:pPr>
        <w:rPr>
          <w:rFonts w:ascii="Times New Roman" w:hAnsi="Times New Roman" w:cs="Times New Roman"/>
          <w:sz w:val="24"/>
          <w:szCs w:val="24"/>
        </w:rPr>
      </w:pPr>
      <w:r>
        <w:rPr>
          <w:rFonts w:ascii="Times New Roman" w:hAnsi="Times New Roman" w:cs="Times New Roman"/>
          <w:sz w:val="24"/>
          <w:szCs w:val="24"/>
        </w:rPr>
        <w:br w:type="page"/>
      </w:r>
    </w:p>
    <w:p w:rsidR="002D7F06" w:rsidRPr="002C0013"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5" w:name="_Hlk41478728"/>
      <w:r>
        <w:t>3.</w:t>
      </w:r>
      <w:r w:rsidRPr="00741965">
        <w:t>DOKAZI SPOSOBNOSTI:</w:t>
      </w:r>
    </w:p>
    <w:bookmarkEnd w:id="5"/>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6"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074DA9"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bookmarkEnd w:id="6"/>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7" w:name="_Hlk41478783"/>
      <w:r w:rsidRPr="00741965">
        <w:rPr>
          <w:rFonts w:ascii="Times New Roman" w:hAnsi="Times New Roman" w:cs="Times New Roman"/>
          <w:sz w:val="24"/>
          <w:szCs w:val="24"/>
        </w:rPr>
        <w:t xml:space="preserve">Sve dokaze sposobnosti koji se prilažu uz ponudu ponuditelji mogu dostaviti u neovjerenojpreslici. </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7"/>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8"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4A6BA7" w:rsidRDefault="004A6BA7" w:rsidP="004A6BA7">
      <w:pPr>
        <w:autoSpaceDE w:val="0"/>
        <w:autoSpaceDN w:val="0"/>
        <w:adjustRightInd w:val="0"/>
        <w:spacing w:after="0" w:line="240" w:lineRule="auto"/>
        <w:rPr>
          <w:rFonts w:ascii="Times New Roman" w:hAnsi="Times New Roman" w:cs="Times New Roman"/>
          <w:sz w:val="24"/>
          <w:szCs w:val="24"/>
        </w:rPr>
      </w:pPr>
    </w:p>
    <w:p w:rsidR="004A6BA7" w:rsidRDefault="004A6BA7" w:rsidP="004A6BA7">
      <w:pPr>
        <w:autoSpaceDE w:val="0"/>
        <w:autoSpaceDN w:val="0"/>
        <w:adjustRightInd w:val="0"/>
        <w:spacing w:after="0" w:line="240" w:lineRule="auto"/>
        <w:jc w:val="both"/>
        <w:rPr>
          <w:rFonts w:ascii="Times New Roman" w:hAnsi="Times New Roman"/>
          <w:b/>
          <w:bCs/>
          <w:color w:val="FF0000"/>
          <w:sz w:val="24"/>
          <w:szCs w:val="24"/>
        </w:rPr>
      </w:pPr>
    </w:p>
    <w:p w:rsidR="004A6BA7" w:rsidRDefault="004A6BA7" w:rsidP="004A6BA7">
      <w:pPr>
        <w:autoSpaceDE w:val="0"/>
        <w:autoSpaceDN w:val="0"/>
        <w:adjustRightInd w:val="0"/>
        <w:spacing w:after="0" w:line="240" w:lineRule="auto"/>
        <w:jc w:val="both"/>
        <w:rPr>
          <w:rFonts w:ascii="Times New Roman" w:hAnsi="Times New Roman"/>
          <w:b/>
          <w:bCs/>
          <w:color w:val="FF0000"/>
          <w:sz w:val="24"/>
          <w:szCs w:val="24"/>
        </w:rPr>
      </w:pPr>
    </w:p>
    <w:p w:rsidR="004A6BA7" w:rsidRPr="004A6BA7" w:rsidRDefault="004A6BA7" w:rsidP="004A6BA7">
      <w:pPr>
        <w:autoSpaceDE w:val="0"/>
        <w:autoSpaceDN w:val="0"/>
        <w:adjustRightInd w:val="0"/>
        <w:spacing w:after="0" w:line="240" w:lineRule="auto"/>
        <w:rPr>
          <w:rFonts w:ascii="Times New Roman" w:hAnsi="Times New Roman" w:cs="Times New Roman"/>
          <w:sz w:val="24"/>
          <w:szCs w:val="24"/>
        </w:rPr>
      </w:pPr>
    </w:p>
    <w:p w:rsidR="00074DA9" w:rsidRDefault="00074DA9" w:rsidP="00074DA9">
      <w:pPr>
        <w:autoSpaceDE w:val="0"/>
        <w:autoSpaceDN w:val="0"/>
        <w:adjustRightInd w:val="0"/>
        <w:spacing w:after="0" w:line="240" w:lineRule="auto"/>
        <w:rPr>
          <w:rFonts w:ascii="Times New Roman" w:hAnsi="Times New Roman" w:cs="Times New Roman"/>
          <w:sz w:val="24"/>
          <w:szCs w:val="24"/>
        </w:rPr>
      </w:pPr>
    </w:p>
    <w:p w:rsidR="004B6EC7" w:rsidRDefault="004B6EC7" w:rsidP="004B6EC7">
      <w:pPr>
        <w:autoSpaceDE w:val="0"/>
        <w:autoSpaceDN w:val="0"/>
        <w:adjustRightInd w:val="0"/>
        <w:spacing w:after="0" w:line="240" w:lineRule="auto"/>
        <w:rPr>
          <w:rFonts w:ascii="Times New Roman" w:hAnsi="Times New Roman" w:cs="Times New Roman"/>
          <w:sz w:val="24"/>
          <w:szCs w:val="24"/>
        </w:rPr>
      </w:pPr>
      <w:bookmarkStart w:id="9" w:name="_Hlk41478970"/>
      <w:bookmarkEnd w:id="8"/>
    </w:p>
    <w:p w:rsidR="003D7317" w:rsidRDefault="003D7317" w:rsidP="004B6EC7">
      <w:pPr>
        <w:autoSpaceDE w:val="0"/>
        <w:autoSpaceDN w:val="0"/>
        <w:adjustRightInd w:val="0"/>
        <w:spacing w:after="0" w:line="240" w:lineRule="auto"/>
        <w:rPr>
          <w:rFonts w:ascii="Times New Roman" w:hAnsi="Times New Roman" w:cs="Times New Roman"/>
          <w:sz w:val="24"/>
          <w:szCs w:val="24"/>
        </w:rPr>
      </w:pPr>
    </w:p>
    <w:p w:rsidR="003D7317" w:rsidRPr="00741965" w:rsidRDefault="003D7317" w:rsidP="004B6EC7">
      <w:pPr>
        <w:autoSpaceDE w:val="0"/>
        <w:autoSpaceDN w:val="0"/>
        <w:adjustRightInd w:val="0"/>
        <w:spacing w:after="0" w:line="240" w:lineRule="auto"/>
        <w:rPr>
          <w:rFonts w:ascii="Times New Roman" w:hAnsi="Times New Roman" w:cs="Times New Roman"/>
          <w:sz w:val="24"/>
          <w:szCs w:val="24"/>
        </w:rPr>
      </w:pPr>
    </w:p>
    <w:p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3D7317">
        <w:rPr>
          <w:rFonts w:ascii="Times New Roman" w:hAnsi="Times New Roman" w:cs="Times New Roman"/>
          <w:b/>
          <w:bCs/>
          <w:sz w:val="24"/>
          <w:szCs w:val="24"/>
        </w:rPr>
        <w:t xml:space="preserve"> 01.12</w:t>
      </w:r>
      <w:r>
        <w:rPr>
          <w:rFonts w:ascii="Times New Roman" w:hAnsi="Times New Roman" w:cs="Times New Roman"/>
          <w:b/>
          <w:bCs/>
          <w:sz w:val="24"/>
          <w:szCs w:val="24"/>
        </w:rPr>
        <w:t>.2020.</w:t>
      </w:r>
      <w:r w:rsidRPr="00741965">
        <w:rPr>
          <w:rFonts w:ascii="Times New Roman" w:hAnsi="Times New Roman" w:cs="Times New Roman"/>
          <w:b/>
          <w:bCs/>
          <w:sz w:val="24"/>
          <w:szCs w:val="24"/>
        </w:rPr>
        <w:t xml:space="preserve"> godine do 1</w:t>
      </w:r>
      <w:r w:rsidR="003D7317">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641EAE">
        <w:rPr>
          <w:rFonts w:ascii="Times New Roman" w:hAnsi="Times New Roman" w:cs="Times New Roman"/>
          <w:b/>
          <w:bCs/>
          <w:sz w:val="24"/>
          <w:szCs w:val="24"/>
        </w:rPr>
        <w:t>rena Hirc Ivanjek</w:t>
      </w:r>
      <w:r w:rsidR="00462A9D">
        <w:rPr>
          <w:rFonts w:ascii="Times New Roman" w:hAnsi="Times New Roman" w:cs="Times New Roman"/>
          <w:sz w:val="24"/>
          <w:szCs w:val="24"/>
        </w:rPr>
        <w:t>, telefon : 01/ 4888-506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462A9D">
        <w:rPr>
          <w:rFonts w:ascii="Times New Roman" w:hAnsi="Times New Roman" w:cs="Times New Roman"/>
          <w:sz w:val="24"/>
          <w:szCs w:val="24"/>
        </w:rPr>
        <w:t>ivanjek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9"/>
    <w:p w:rsidR="00027A8D" w:rsidRDefault="00C05FC8">
      <w:pPr>
        <w:rPr>
          <w:rFonts w:ascii="Times New Roman" w:hAnsi="Times New Roman" w:cs="Times New Roman"/>
        </w:rPr>
        <w:sectPr w:rsidR="00027A8D" w:rsidSect="00027A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Pr>
          <w:rFonts w:ascii="Times New Roman" w:hAnsi="Times New Roman" w:cs="Times New Roman"/>
        </w:rPr>
        <w:br w:type="page"/>
      </w:r>
    </w:p>
    <w:p w:rsidR="003D7317" w:rsidRPr="00B71B2E" w:rsidRDefault="003D7317" w:rsidP="003D7317">
      <w:pPr>
        <w:ind w:left="-180"/>
        <w:rPr>
          <w:rFonts w:ascii="Times New Roman" w:hAnsi="Times New Roman"/>
          <w:b/>
          <w:lang w:val="en-US"/>
        </w:rPr>
      </w:pPr>
      <w:r w:rsidRPr="00B71B2E">
        <w:rPr>
          <w:rFonts w:ascii="Times New Roman" w:hAnsi="Times New Roman"/>
          <w:b/>
        </w:rPr>
        <w:t xml:space="preserve">PONUDBENI TROŠKOVNIK </w:t>
      </w:r>
      <w:r w:rsidR="00645730">
        <w:rPr>
          <w:rFonts w:ascii="Times New Roman" w:hAnsi="Times New Roman"/>
          <w:b/>
        </w:rPr>
        <w:t>-ZAMJENA I DOGRADNJA</w:t>
      </w:r>
      <w:r w:rsidRPr="00B54EF0">
        <w:rPr>
          <w:rFonts w:ascii="Times New Roman" w:hAnsi="Times New Roman"/>
          <w:b/>
        </w:rPr>
        <w:t xml:space="preserve"> ELEKTROTEHNIČKIH INSTALACIJA ZA POTREBE AUDIO OPREME</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079"/>
        <w:gridCol w:w="993"/>
        <w:gridCol w:w="708"/>
        <w:gridCol w:w="2410"/>
        <w:gridCol w:w="1843"/>
      </w:tblGrid>
      <w:tr w:rsidR="003D7317" w:rsidRPr="00B71B2E" w:rsidTr="00887F48">
        <w:tc>
          <w:tcPr>
            <w:tcW w:w="710" w:type="dxa"/>
          </w:tcPr>
          <w:p w:rsidR="003D7317" w:rsidRPr="00B71B2E" w:rsidRDefault="003D7317" w:rsidP="00887F48">
            <w:pPr>
              <w:tabs>
                <w:tab w:val="left" w:pos="3720"/>
              </w:tabs>
              <w:jc w:val="center"/>
              <w:rPr>
                <w:rFonts w:ascii="Times New Roman" w:hAnsi="Times New Roman"/>
                <w:b/>
                <w:bCs/>
                <w:lang w:val="de-DE"/>
              </w:rPr>
            </w:pPr>
            <w:r w:rsidRPr="00B71B2E">
              <w:rPr>
                <w:rFonts w:ascii="Times New Roman" w:hAnsi="Times New Roman"/>
                <w:b/>
                <w:bCs/>
                <w:lang w:val="de-DE"/>
              </w:rPr>
              <w:t>Red.Br.</w:t>
            </w:r>
          </w:p>
        </w:tc>
        <w:tc>
          <w:tcPr>
            <w:tcW w:w="8079" w:type="dxa"/>
          </w:tcPr>
          <w:p w:rsidR="003D7317" w:rsidRPr="00B71B2E" w:rsidRDefault="003D7317" w:rsidP="00887F48">
            <w:pPr>
              <w:tabs>
                <w:tab w:val="left" w:pos="3720"/>
              </w:tabs>
              <w:jc w:val="center"/>
              <w:rPr>
                <w:rFonts w:ascii="Times New Roman" w:hAnsi="Times New Roman"/>
                <w:b/>
                <w:bCs/>
              </w:rPr>
            </w:pPr>
            <w:r>
              <w:rPr>
                <w:rFonts w:ascii="Times New Roman" w:hAnsi="Times New Roman"/>
                <w:b/>
                <w:bCs/>
              </w:rPr>
              <w:t xml:space="preserve">Opis traženog </w:t>
            </w:r>
          </w:p>
        </w:tc>
        <w:tc>
          <w:tcPr>
            <w:tcW w:w="993" w:type="dxa"/>
          </w:tcPr>
          <w:p w:rsidR="003D7317" w:rsidRPr="00B71B2E" w:rsidRDefault="003D7317" w:rsidP="00887F48">
            <w:pPr>
              <w:tabs>
                <w:tab w:val="left" w:pos="3720"/>
              </w:tabs>
              <w:ind w:right="-179"/>
              <w:rPr>
                <w:rFonts w:ascii="Times New Roman" w:hAnsi="Times New Roman"/>
                <w:b/>
                <w:bCs/>
              </w:rPr>
            </w:pPr>
            <w:r w:rsidRPr="00B71B2E">
              <w:rPr>
                <w:rFonts w:ascii="Times New Roman" w:hAnsi="Times New Roman"/>
                <w:b/>
                <w:bCs/>
              </w:rPr>
              <w:t>Jedinica mjere</w:t>
            </w:r>
          </w:p>
        </w:tc>
        <w:tc>
          <w:tcPr>
            <w:tcW w:w="708" w:type="dxa"/>
          </w:tcPr>
          <w:p w:rsidR="003D7317" w:rsidRPr="00B71B2E" w:rsidRDefault="003D7317" w:rsidP="00887F48">
            <w:pPr>
              <w:tabs>
                <w:tab w:val="left" w:pos="3720"/>
              </w:tabs>
              <w:jc w:val="center"/>
              <w:rPr>
                <w:rFonts w:ascii="Times New Roman" w:hAnsi="Times New Roman"/>
                <w:b/>
                <w:bCs/>
              </w:rPr>
            </w:pPr>
            <w:r w:rsidRPr="00B71B2E">
              <w:rPr>
                <w:rFonts w:ascii="Times New Roman" w:hAnsi="Times New Roman"/>
                <w:b/>
                <w:bCs/>
              </w:rPr>
              <w:t xml:space="preserve">Količina </w:t>
            </w:r>
          </w:p>
        </w:tc>
        <w:tc>
          <w:tcPr>
            <w:tcW w:w="2410" w:type="dxa"/>
          </w:tcPr>
          <w:p w:rsidR="003D7317" w:rsidRPr="00B71B2E" w:rsidRDefault="003D7317" w:rsidP="00887F48">
            <w:pPr>
              <w:tabs>
                <w:tab w:val="left" w:pos="3720"/>
              </w:tabs>
              <w:jc w:val="center"/>
              <w:rPr>
                <w:rFonts w:ascii="Times New Roman" w:hAnsi="Times New Roman"/>
                <w:b/>
                <w:bCs/>
              </w:rPr>
            </w:pPr>
            <w:r w:rsidRPr="00B71B2E">
              <w:rPr>
                <w:rFonts w:ascii="Times New Roman" w:hAnsi="Times New Roman"/>
                <w:b/>
                <w:bCs/>
                <w:lang w:val="de-DE"/>
              </w:rPr>
              <w:t>Jedini</w:t>
            </w:r>
            <w:r w:rsidRPr="00B71B2E">
              <w:rPr>
                <w:rFonts w:ascii="Times New Roman" w:hAnsi="Times New Roman"/>
                <w:b/>
                <w:bCs/>
              </w:rPr>
              <w:t>č</w:t>
            </w:r>
            <w:r w:rsidRPr="00B71B2E">
              <w:rPr>
                <w:rFonts w:ascii="Times New Roman" w:hAnsi="Times New Roman"/>
                <w:b/>
                <w:bCs/>
                <w:lang w:val="de-DE"/>
              </w:rPr>
              <w:t>na cijena</w:t>
            </w:r>
            <w:r w:rsidRPr="00B71B2E">
              <w:rPr>
                <w:rFonts w:ascii="Times New Roman" w:hAnsi="Times New Roman"/>
                <w:b/>
                <w:bCs/>
              </w:rPr>
              <w:t>(HRK) bez PDV-a</w:t>
            </w:r>
          </w:p>
        </w:tc>
        <w:tc>
          <w:tcPr>
            <w:tcW w:w="1843" w:type="dxa"/>
          </w:tcPr>
          <w:p w:rsidR="003D7317" w:rsidRPr="00B71B2E" w:rsidRDefault="003D7317" w:rsidP="00887F48">
            <w:pPr>
              <w:tabs>
                <w:tab w:val="left" w:pos="3720"/>
              </w:tabs>
              <w:jc w:val="center"/>
              <w:rPr>
                <w:rFonts w:ascii="Times New Roman" w:hAnsi="Times New Roman"/>
                <w:b/>
                <w:bCs/>
              </w:rPr>
            </w:pPr>
            <w:r w:rsidRPr="00B71B2E">
              <w:rPr>
                <w:rFonts w:ascii="Times New Roman" w:hAnsi="Times New Roman"/>
                <w:b/>
                <w:bCs/>
              </w:rPr>
              <w:t>Ukupna cijena HRK bez PDV-a</w:t>
            </w:r>
          </w:p>
        </w:tc>
      </w:tr>
      <w:tr w:rsidR="003D7317" w:rsidRPr="00B71B2E" w:rsidTr="00887F48">
        <w:trPr>
          <w:trHeight w:val="3237"/>
        </w:trPr>
        <w:tc>
          <w:tcPr>
            <w:tcW w:w="710" w:type="dxa"/>
            <w:tcBorders>
              <w:top w:val="single" w:sz="4" w:space="0" w:color="auto"/>
              <w:left w:val="single" w:sz="4" w:space="0" w:color="auto"/>
              <w:bottom w:val="single" w:sz="4" w:space="0" w:color="auto"/>
              <w:right w:val="single" w:sz="4" w:space="0" w:color="auto"/>
            </w:tcBorders>
            <w:shd w:val="clear" w:color="auto" w:fill="auto"/>
          </w:tcPr>
          <w:p w:rsidR="003D7317" w:rsidRPr="00B71B2E" w:rsidRDefault="003D7317" w:rsidP="00887F48">
            <w:pPr>
              <w:tabs>
                <w:tab w:val="left" w:pos="3720"/>
              </w:tabs>
              <w:jc w:val="center"/>
              <w:rPr>
                <w:rFonts w:ascii="Times New Roman" w:hAnsi="Times New Roman"/>
              </w:rPr>
            </w:pPr>
            <w:r w:rsidRPr="00B71B2E">
              <w:rPr>
                <w:rFonts w:ascii="Times New Roman" w:hAnsi="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3D7317" w:rsidRDefault="003D7317" w:rsidP="00887F48">
            <w:pPr>
              <w:ind w:right="-46"/>
              <w:rPr>
                <w:bCs/>
              </w:rPr>
            </w:pPr>
            <w:r>
              <w:rPr>
                <w:b/>
              </w:rPr>
              <w:t>Zamjena i dogradnja elektrotehničkih instalacija za potrebe audio opreme</w:t>
            </w:r>
            <w:r>
              <w:rPr>
                <w:b/>
              </w:rPr>
              <w:br/>
            </w:r>
          </w:p>
          <w:p w:rsidR="003D7317" w:rsidRDefault="003D7317" w:rsidP="00887F48">
            <w:pPr>
              <w:ind w:right="-46"/>
              <w:rPr>
                <w:bCs/>
              </w:rPr>
            </w:pPr>
            <w:r>
              <w:rPr>
                <w:bCs/>
              </w:rPr>
              <w:t>Potrebna je zamjena i postava novih elektroinstalacija, izrade te montaže strujnih priključnih mjesta.</w:t>
            </w:r>
            <w:r>
              <w:rPr>
                <w:bCs/>
              </w:rPr>
              <w:br/>
              <w:t>Na svakom mjestu potrebno je ugraditi: UTP linije, XLR priključci ugrađeni u nadžbuknu kutiju, **strujni priključak 220 V (šuko) nadžbukni .</w:t>
            </w:r>
            <w:r>
              <w:rPr>
                <w:bCs/>
              </w:rPr>
              <w:br/>
              <w:t>**strujne linije moraju biti dovedene do lokacija iz RTV ormara – glavni razvod struje.</w:t>
            </w:r>
            <w:r>
              <w:rPr>
                <w:bCs/>
              </w:rPr>
              <w:br/>
            </w:r>
            <w:r>
              <w:rPr>
                <w:bCs/>
              </w:rPr>
              <w:br/>
              <w:t>Mjesta za ugradnju unutar pozornice i gledališta (ukupno 8 kom):</w:t>
            </w:r>
            <w:r>
              <w:rPr>
                <w:bCs/>
              </w:rPr>
              <w:br/>
              <w:t xml:space="preserve">- 1 Stražnja strana pozornice sa lijeve strane </w:t>
            </w:r>
            <w:r>
              <w:rPr>
                <w:bCs/>
              </w:rPr>
              <w:br/>
              <w:t>- 2 Stražnja strana pozornice sa desne strane</w:t>
            </w:r>
            <w:r>
              <w:rPr>
                <w:bCs/>
              </w:rPr>
              <w:br/>
              <w:t>- 3prednja strana pozornice sa lijeve strane (portal)</w:t>
            </w:r>
            <w:r>
              <w:rPr>
                <w:bCs/>
              </w:rPr>
              <w:br/>
              <w:t>- 4prednja strana pozornice sa desne strane (portal)</w:t>
            </w:r>
            <w:r>
              <w:rPr>
                <w:bCs/>
              </w:rPr>
              <w:br/>
              <w:t xml:space="preserve">- 5 loža u razini orkestra na lijevoj strani </w:t>
            </w:r>
            <w:r>
              <w:rPr>
                <w:bCs/>
              </w:rPr>
              <w:br/>
              <w:t>- 6 orkestralna rupa</w:t>
            </w:r>
            <w:r>
              <w:rPr>
                <w:bCs/>
              </w:rPr>
              <w:br/>
              <w:t xml:space="preserve">- 7 pozicija tonskog pulta u gledalištu </w:t>
            </w:r>
            <w:r>
              <w:rPr>
                <w:bCs/>
              </w:rPr>
              <w:br/>
              <w:t xml:space="preserve">- 8 tehnička loža br.11, na 1. katu. </w:t>
            </w:r>
            <w:r>
              <w:rPr>
                <w:bCs/>
              </w:rPr>
              <w:br/>
            </w:r>
            <w:r w:rsidRPr="00380D26">
              <w:rPr>
                <w:bCs/>
                <w:strike/>
              </w:rPr>
              <w:br/>
            </w:r>
            <w:r>
              <w:rPr>
                <w:bCs/>
              </w:rPr>
              <w:t>Na lokacijama 1, 2, 3, 4 i 5 potrebno je ugraditi:</w:t>
            </w:r>
            <w:r>
              <w:rPr>
                <w:bCs/>
              </w:rPr>
              <w:br/>
              <w:t>2 x UTP linija</w:t>
            </w:r>
            <w:r>
              <w:rPr>
                <w:bCs/>
              </w:rPr>
              <w:br/>
              <w:t>8 x XLR priključci, nadžbukno</w:t>
            </w:r>
            <w:r>
              <w:rPr>
                <w:bCs/>
              </w:rPr>
              <w:br/>
              <w:t>2 x strujni priključak šuko, nadžbukno – 3 x 2,5 kvadrata</w:t>
            </w:r>
          </w:p>
          <w:p w:rsidR="003D7317" w:rsidRDefault="003D7317" w:rsidP="00887F48">
            <w:pPr>
              <w:ind w:right="-46"/>
              <w:rPr>
                <w:bCs/>
              </w:rPr>
            </w:pPr>
            <w:r>
              <w:rPr>
                <w:bCs/>
              </w:rPr>
              <w:t>Na lokacijama 6, 7 i 8 potrebno je ugraditi:</w:t>
            </w:r>
          </w:p>
          <w:p w:rsidR="003D7317" w:rsidRPr="005275C2" w:rsidRDefault="003D7317" w:rsidP="00887F48">
            <w:pPr>
              <w:ind w:right="-46"/>
              <w:rPr>
                <w:bCs/>
              </w:rPr>
            </w:pPr>
            <w:r>
              <w:rPr>
                <w:bCs/>
              </w:rPr>
              <w:t>2 x UTP linija</w:t>
            </w:r>
            <w:r>
              <w:rPr>
                <w:bCs/>
              </w:rPr>
              <w:br/>
              <w:t>24 x XLR priključci, nadžbukno</w:t>
            </w:r>
            <w:r>
              <w:rPr>
                <w:bCs/>
              </w:rPr>
              <w:br/>
              <w:t>2 x strujni priključak šuko, nadžbukno – 3 x 2,5 kvadrata</w:t>
            </w:r>
          </w:p>
          <w:p w:rsidR="003D7317" w:rsidRDefault="003D7317" w:rsidP="00887F48">
            <w:pPr>
              <w:ind w:right="-46"/>
              <w:rPr>
                <w:bCs/>
              </w:rPr>
            </w:pPr>
            <w:r>
              <w:rPr>
                <w:bCs/>
              </w:rPr>
              <w:t xml:space="preserve">Sve radove je potrebno izvesti prema pravilima struke i osigurati kabliranje unutar kanalica. </w:t>
            </w:r>
          </w:p>
          <w:p w:rsidR="003D7317" w:rsidRPr="002E2E2E" w:rsidRDefault="003D7317" w:rsidP="00887F48">
            <w:pPr>
              <w:ind w:right="-46"/>
              <w:rPr>
                <w:rFonts w:eastAsia="Times New Roman" w:cstheme="minorHAnsi"/>
                <w:color w:val="000000"/>
                <w:lang w:eastAsia="en-GB"/>
              </w:rPr>
            </w:pPr>
            <w:r>
              <w:rPr>
                <w:bCs/>
              </w:rPr>
              <w:t xml:space="preserve">U prilogu se nalazi skica sa pregledom pozicija priključnih mjesta. </w:t>
            </w:r>
            <w:r>
              <w:rPr>
                <w:bCs/>
              </w:rPr>
              <w:br/>
              <w:t xml:space="preserve">Na poveznici u nastavku je moguće preuzeti dodatne tehničke informacije, tlocrte i presjek pozornice sa gledalištem u mjerilu. </w:t>
            </w:r>
            <w:r>
              <w:rPr>
                <w:bCs/>
              </w:rPr>
              <w:br/>
            </w:r>
            <w:r w:rsidRPr="005275C2">
              <w:rPr>
                <w:bCs/>
              </w:rPr>
              <w:t>https://www.hnk.hr/hr/o-nama/tehnicki-detalji/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317" w:rsidRPr="00B71B2E" w:rsidRDefault="003D7317" w:rsidP="00887F48">
            <w:pPr>
              <w:tabs>
                <w:tab w:val="left" w:pos="3720"/>
              </w:tabs>
              <w:jc w:val="center"/>
              <w:rPr>
                <w:rFonts w:ascii="Times New Roman" w:hAnsi="Times New Roman"/>
                <w:b/>
              </w:rPr>
            </w:pPr>
            <w:r>
              <w:rPr>
                <w:rFonts w:ascii="Times New Roman" w:hAnsi="Times New Roman"/>
                <w:b/>
              </w:rPr>
              <w:t>komplet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D7317" w:rsidRPr="00B71B2E" w:rsidRDefault="003D7317" w:rsidP="00887F48">
            <w:pPr>
              <w:tabs>
                <w:tab w:val="left" w:pos="3720"/>
              </w:tabs>
              <w:jc w:val="center"/>
              <w:rPr>
                <w:rFonts w:ascii="Times New Roman" w:hAnsi="Times New Roman"/>
                <w:b/>
                <w:bCs/>
              </w:rPr>
            </w:pPr>
            <w:r>
              <w:rPr>
                <w:rFonts w:ascii="Times New Roman" w:hAnsi="Times New Roman"/>
                <w:b/>
                <w:bCs/>
              </w:rPr>
              <w:t>1</w:t>
            </w:r>
          </w:p>
        </w:tc>
        <w:tc>
          <w:tcPr>
            <w:tcW w:w="2410" w:type="dxa"/>
            <w:tcBorders>
              <w:top w:val="single" w:sz="4" w:space="0" w:color="auto"/>
              <w:left w:val="single" w:sz="4" w:space="0" w:color="auto"/>
              <w:bottom w:val="single" w:sz="4" w:space="0" w:color="auto"/>
              <w:right w:val="single" w:sz="4" w:space="0" w:color="auto"/>
            </w:tcBorders>
            <w:vAlign w:val="center"/>
          </w:tcPr>
          <w:p w:rsidR="003D7317" w:rsidRPr="00B71B2E" w:rsidRDefault="003D7317" w:rsidP="00887F48">
            <w:pPr>
              <w:tabs>
                <w:tab w:val="left" w:pos="3720"/>
              </w:tabs>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317" w:rsidRPr="00B71B2E" w:rsidRDefault="003D7317" w:rsidP="00887F48">
            <w:pPr>
              <w:tabs>
                <w:tab w:val="left" w:pos="3720"/>
              </w:tabs>
              <w:jc w:val="center"/>
              <w:rPr>
                <w:rFonts w:ascii="Times New Roman" w:hAnsi="Times New Roman"/>
                <w:b/>
              </w:rPr>
            </w:pPr>
          </w:p>
        </w:tc>
      </w:tr>
      <w:tr w:rsidR="003D7317" w:rsidRPr="00B71B2E" w:rsidTr="00887F48">
        <w:trPr>
          <w:trHeight w:val="280"/>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3D7317" w:rsidRPr="00B71B2E" w:rsidRDefault="003D7317" w:rsidP="00887F48">
            <w:pPr>
              <w:tabs>
                <w:tab w:val="left" w:pos="3720"/>
              </w:tabs>
              <w:jc w:val="right"/>
              <w:rPr>
                <w:rFonts w:ascii="Times New Roman" w:hAnsi="Times New Roman"/>
                <w:b/>
              </w:rPr>
            </w:pPr>
            <w:r w:rsidRPr="00B71B2E">
              <w:rPr>
                <w:rFonts w:ascii="Times New Roman" w:hAnsi="Times New Roman"/>
                <w:b/>
              </w:rPr>
              <w:t>UKUPNO BEZ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7317" w:rsidRPr="00B71B2E" w:rsidRDefault="003D7317" w:rsidP="00887F48">
            <w:pPr>
              <w:tabs>
                <w:tab w:val="left" w:pos="3720"/>
              </w:tabs>
              <w:jc w:val="right"/>
              <w:rPr>
                <w:rFonts w:ascii="Times New Roman" w:hAnsi="Times New Roman"/>
                <w:b/>
              </w:rPr>
            </w:pPr>
          </w:p>
        </w:tc>
      </w:tr>
      <w:tr w:rsidR="003D7317" w:rsidRPr="00B71B2E" w:rsidTr="00887F48">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3D7317" w:rsidRPr="00B71B2E" w:rsidRDefault="003D7317" w:rsidP="00887F48">
            <w:pPr>
              <w:tabs>
                <w:tab w:val="left" w:pos="3720"/>
              </w:tabs>
              <w:jc w:val="right"/>
              <w:rPr>
                <w:rFonts w:ascii="Times New Roman" w:hAnsi="Times New Roman"/>
                <w:b/>
              </w:rPr>
            </w:pPr>
            <w:r w:rsidRPr="00B71B2E">
              <w:rPr>
                <w:rFonts w:ascii="Times New Roman" w:hAnsi="Times New Roman"/>
                <w:b/>
              </w:rPr>
              <w:t>IZNOS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7317" w:rsidRPr="00B71B2E" w:rsidRDefault="003D7317" w:rsidP="00887F48">
            <w:pPr>
              <w:tabs>
                <w:tab w:val="left" w:pos="3720"/>
              </w:tabs>
              <w:jc w:val="right"/>
              <w:rPr>
                <w:rFonts w:ascii="Times New Roman" w:hAnsi="Times New Roman"/>
                <w:b/>
              </w:rPr>
            </w:pPr>
          </w:p>
        </w:tc>
      </w:tr>
      <w:tr w:rsidR="003D7317" w:rsidRPr="00B71B2E" w:rsidTr="00887F48">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3D7317" w:rsidRPr="00B71B2E" w:rsidRDefault="003D7317" w:rsidP="00887F48">
            <w:pPr>
              <w:tabs>
                <w:tab w:val="left" w:pos="3720"/>
              </w:tabs>
              <w:jc w:val="right"/>
              <w:rPr>
                <w:rFonts w:ascii="Times New Roman" w:hAnsi="Times New Roman"/>
                <w:b/>
              </w:rPr>
            </w:pPr>
            <w:r w:rsidRPr="00B71B2E">
              <w:rPr>
                <w:rFonts w:ascii="Times New Roman" w:hAnsi="Times New Roman"/>
                <w:b/>
              </w:rPr>
              <w:t>UKUPAN IZNOS S PDV-om: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7317" w:rsidRPr="00B71B2E" w:rsidRDefault="003D7317" w:rsidP="00887F48">
            <w:pPr>
              <w:tabs>
                <w:tab w:val="left" w:pos="3720"/>
              </w:tabs>
              <w:jc w:val="right"/>
              <w:rPr>
                <w:rFonts w:ascii="Times New Roman" w:hAnsi="Times New Roman"/>
                <w:b/>
              </w:rPr>
            </w:pPr>
          </w:p>
        </w:tc>
      </w:tr>
    </w:tbl>
    <w:p w:rsidR="003D7317" w:rsidRDefault="003D7317" w:rsidP="004D72FA">
      <w:pPr>
        <w:ind w:left="-180"/>
        <w:rPr>
          <w:rFonts w:ascii="Times New Roman" w:hAnsi="Times New Roman" w:cs="Times New Roman"/>
          <w:b/>
          <w:sz w:val="24"/>
          <w:szCs w:val="24"/>
        </w:rPr>
      </w:pPr>
    </w:p>
    <w:p w:rsidR="003D7317" w:rsidRDefault="003D7317" w:rsidP="004D72FA">
      <w:pPr>
        <w:ind w:left="-180"/>
        <w:rPr>
          <w:rFonts w:ascii="Times New Roman" w:hAnsi="Times New Roman" w:cs="Times New Roman"/>
          <w:b/>
          <w:sz w:val="24"/>
          <w:szCs w:val="24"/>
        </w:rPr>
      </w:pPr>
    </w:p>
    <w:p w:rsidR="003D7317" w:rsidRDefault="003D7317" w:rsidP="004D72FA">
      <w:pPr>
        <w:ind w:left="-180"/>
        <w:rPr>
          <w:rFonts w:ascii="Times New Roman" w:hAnsi="Times New Roman" w:cs="Times New Roman"/>
          <w:b/>
          <w:sz w:val="24"/>
          <w:szCs w:val="24"/>
        </w:rPr>
      </w:pPr>
    </w:p>
    <w:p w:rsidR="008B5F56" w:rsidRDefault="008B5F56" w:rsidP="008B5F56"/>
    <w:p w:rsidR="00F107AF" w:rsidRDefault="00F107AF" w:rsidP="0015249A">
      <w:pPr>
        <w:autoSpaceDE w:val="0"/>
        <w:autoSpaceDN w:val="0"/>
        <w:adjustRightInd w:val="0"/>
        <w:spacing w:after="0" w:line="360" w:lineRule="auto"/>
        <w:rPr>
          <w:rFonts w:eastAsia="Calibri"/>
          <w:b/>
          <w:u w:val="single"/>
        </w:rPr>
      </w:pPr>
      <w:bookmarkStart w:id="10" w:name="_Hlk41479579"/>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645730" w:rsidP="0015249A">
      <w:pPr>
        <w:autoSpaceDE w:val="0"/>
        <w:autoSpaceDN w:val="0"/>
        <w:adjustRightInd w:val="0"/>
        <w:spacing w:after="0" w:line="360" w:lineRule="auto"/>
        <w:rPr>
          <w:rFonts w:eastAsia="Calibri"/>
          <w:b/>
          <w:u w:val="single"/>
        </w:rPr>
      </w:pPr>
      <w:r w:rsidRPr="00645730">
        <w:rPr>
          <w:rFonts w:eastAsia="Calibri"/>
          <w:b/>
          <w:noProof/>
          <w:u w:val="single"/>
          <w:lang w:eastAsia="hr-HR"/>
        </w:rPr>
        <w:drawing>
          <wp:anchor distT="0" distB="0" distL="114300" distR="114300" simplePos="0" relativeHeight="251659776" behindDoc="1" locked="0" layoutInCell="1" allowOverlap="1">
            <wp:simplePos x="0" y="0"/>
            <wp:positionH relativeFrom="margin">
              <wp:posOffset>-64908</wp:posOffset>
            </wp:positionH>
            <wp:positionV relativeFrom="paragraph">
              <wp:posOffset>-494278</wp:posOffset>
            </wp:positionV>
            <wp:extent cx="9493857" cy="6735086"/>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93250" cy="6736603"/>
                    </a:xfrm>
                    <a:prstGeom prst="rect">
                      <a:avLst/>
                    </a:prstGeom>
                  </pic:spPr>
                </pic:pic>
              </a:graphicData>
            </a:graphic>
          </wp:anchor>
        </w:drawing>
      </w: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222B94" w:rsidRDefault="00222B94" w:rsidP="0015249A">
      <w:pPr>
        <w:autoSpaceDE w:val="0"/>
        <w:autoSpaceDN w:val="0"/>
        <w:adjustRightInd w:val="0"/>
        <w:spacing w:after="0" w:line="360" w:lineRule="auto"/>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3D7317" w:rsidRDefault="003D7317" w:rsidP="003D7317">
      <w:pPr>
        <w:rPr>
          <w:rFonts w:eastAsia="Calibri"/>
          <w:b/>
          <w:u w:val="single"/>
        </w:rPr>
      </w:pPr>
    </w:p>
    <w:p w:rsidR="005E5FF1" w:rsidRDefault="005E5FF1" w:rsidP="003D7317">
      <w:pPr>
        <w:rPr>
          <w:rFonts w:eastAsia="Calibri"/>
          <w:b/>
          <w:u w:val="single"/>
        </w:rPr>
        <w:sectPr w:rsidR="005E5FF1" w:rsidSect="005E5FF1">
          <w:pgSz w:w="16838" w:h="11906" w:orient="landscape"/>
          <w:pgMar w:top="1417" w:right="1417" w:bottom="1417" w:left="1417" w:header="708" w:footer="708" w:gutter="0"/>
          <w:cols w:space="708"/>
          <w:docGrid w:linePitch="360"/>
        </w:sectPr>
      </w:pPr>
    </w:p>
    <w:p w:rsidR="003D7317" w:rsidRDefault="003D7317" w:rsidP="003D7317">
      <w:pPr>
        <w:rPr>
          <w:rFonts w:eastAsia="Calibri"/>
          <w:b/>
          <w:u w:val="single"/>
        </w:rPr>
      </w:pPr>
    </w:p>
    <w:p w:rsidR="003D7317" w:rsidRPr="003D7317" w:rsidRDefault="0015249A" w:rsidP="003D7317">
      <w:pPr>
        <w:rPr>
          <w:rFonts w:ascii="Times New Roman" w:hAnsi="Times New Roman" w:cs="Times New Roman"/>
          <w:b/>
          <w:lang w:val="en-US"/>
        </w:rPr>
      </w:pPr>
      <w:r w:rsidRPr="0015249A">
        <w:rPr>
          <w:rFonts w:eastAsia="Calibri"/>
          <w:b/>
          <w:u w:val="single"/>
        </w:rPr>
        <w:t>PONUDBENI LIST ZA PREDMET NABAV</w:t>
      </w:r>
      <w:r w:rsidR="003D7317">
        <w:rPr>
          <w:rFonts w:eastAsia="Calibri"/>
          <w:b/>
          <w:u w:val="single"/>
        </w:rPr>
        <w:t>E-</w:t>
      </w:r>
      <w:r w:rsidR="003D7317" w:rsidRPr="003D7317">
        <w:rPr>
          <w:rFonts w:ascii="Times New Roman" w:hAnsi="Times New Roman" w:cs="Times New Roman"/>
        </w:rPr>
        <w:t>ELEKTRONIČKA INSTALACIJA</w:t>
      </w:r>
    </w:p>
    <w:p w:rsidR="0015249A" w:rsidRPr="003D7317" w:rsidRDefault="0015249A" w:rsidP="0015249A">
      <w:pPr>
        <w:autoSpaceDE w:val="0"/>
        <w:autoSpaceDN w:val="0"/>
        <w:adjustRightInd w:val="0"/>
        <w:spacing w:after="0" w:line="360" w:lineRule="auto"/>
        <w:rPr>
          <w:rFonts w:eastAsia="Calibri"/>
          <w:b/>
        </w:rPr>
      </w:pP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1841"/>
        <w:gridCol w:w="4911"/>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3D7317" w:rsidRDefault="003D7317" w:rsidP="003D7317">
            <w:pPr>
              <w:rPr>
                <w:rFonts w:ascii="Times New Roman" w:hAnsi="Times New Roman" w:cs="Times New Roman"/>
                <w:b/>
                <w:lang w:val="en-US"/>
              </w:rPr>
            </w:pPr>
            <w:r>
              <w:rPr>
                <w:rFonts w:ascii="Times New Roman" w:hAnsi="Times New Roman" w:cs="Times New Roman"/>
                <w:sz w:val="24"/>
                <w:szCs w:val="24"/>
              </w:rPr>
              <w:t>ELEKTROTEHNIČKA INSTALACIJA</w:t>
            </w:r>
          </w:p>
          <w:p w:rsidR="0015249A" w:rsidRPr="00D51D80" w:rsidRDefault="0015249A" w:rsidP="003D7317">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2501"/>
        <w:gridCol w:w="2226"/>
        <w:gridCol w:w="2938"/>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t>Predmet nabave:</w:t>
            </w:r>
          </w:p>
          <w:p w:rsidR="003D7317" w:rsidRDefault="003D7317" w:rsidP="003D7317">
            <w:pPr>
              <w:rPr>
                <w:rFonts w:ascii="Times New Roman" w:hAnsi="Times New Roman" w:cs="Times New Roman"/>
                <w:b/>
                <w:lang w:val="en-US"/>
              </w:rPr>
            </w:pPr>
            <w:r>
              <w:rPr>
                <w:rFonts w:ascii="Times New Roman" w:hAnsi="Times New Roman" w:cs="Times New Roman"/>
                <w:sz w:val="24"/>
                <w:szCs w:val="24"/>
              </w:rPr>
              <w:t>ELEKTROTEHNIČKA INSTALACIJA</w:t>
            </w:r>
          </w:p>
          <w:p w:rsidR="0015249A" w:rsidRPr="00D51D80" w:rsidRDefault="0015249A" w:rsidP="003D7317">
            <w:pP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3D7317">
        <w:rPr>
          <w:b/>
          <w:bCs/>
        </w:rPr>
        <w:t>2</w:t>
      </w:r>
      <w:r w:rsidR="00DE221D">
        <w:rPr>
          <w:b/>
          <w:bCs/>
        </w:rPr>
        <w:t>4</w:t>
      </w:r>
      <w:r w:rsidR="003D7317">
        <w:rPr>
          <w:b/>
          <w:bCs/>
        </w:rPr>
        <w:t>.11</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1" w:name="_Toc14352535"/>
      <w:bookmarkStart w:id="12" w:name="_Toc378666518"/>
      <w:r w:rsidRPr="007E450D">
        <w:t>IZJAVA O NEKAŽNJAVANJU</w:t>
      </w:r>
      <w:bookmarkEnd w:id="11"/>
      <w:bookmarkEnd w:id="12"/>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0"/>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5E5FF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8E" w:rsidRDefault="00BA0D8E" w:rsidP="00645730">
      <w:pPr>
        <w:spacing w:after="0" w:line="240" w:lineRule="auto"/>
      </w:pPr>
      <w:r>
        <w:separator/>
      </w:r>
    </w:p>
  </w:endnote>
  <w:endnote w:type="continuationSeparator" w:id="1">
    <w:p w:rsidR="00BA0D8E" w:rsidRDefault="00BA0D8E" w:rsidP="00645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0" w:rsidRDefault="00645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0" w:rsidRDefault="006457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0" w:rsidRDefault="00645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8E" w:rsidRDefault="00BA0D8E" w:rsidP="00645730">
      <w:pPr>
        <w:spacing w:after="0" w:line="240" w:lineRule="auto"/>
      </w:pPr>
      <w:r>
        <w:separator/>
      </w:r>
    </w:p>
  </w:footnote>
  <w:footnote w:type="continuationSeparator" w:id="1">
    <w:p w:rsidR="00BA0D8E" w:rsidRDefault="00BA0D8E" w:rsidP="00645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0" w:rsidRDefault="006457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0" w:rsidRDefault="00645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0" w:rsidRDefault="006457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450AC3"/>
    <w:rsid w:val="00012580"/>
    <w:rsid w:val="00024FB7"/>
    <w:rsid w:val="00027A8D"/>
    <w:rsid w:val="00037731"/>
    <w:rsid w:val="00041C96"/>
    <w:rsid w:val="00042159"/>
    <w:rsid w:val="00074DA9"/>
    <w:rsid w:val="000B1E38"/>
    <w:rsid w:val="000F54A9"/>
    <w:rsid w:val="00101774"/>
    <w:rsid w:val="00121AD0"/>
    <w:rsid w:val="00130B7E"/>
    <w:rsid w:val="00137A55"/>
    <w:rsid w:val="00137BD0"/>
    <w:rsid w:val="001443D9"/>
    <w:rsid w:val="0015249A"/>
    <w:rsid w:val="00155F66"/>
    <w:rsid w:val="00174EBD"/>
    <w:rsid w:val="001B065E"/>
    <w:rsid w:val="001C6DD4"/>
    <w:rsid w:val="00200833"/>
    <w:rsid w:val="00222B94"/>
    <w:rsid w:val="00230D64"/>
    <w:rsid w:val="002360E5"/>
    <w:rsid w:val="00265C12"/>
    <w:rsid w:val="002A7CDF"/>
    <w:rsid w:val="002C0013"/>
    <w:rsid w:val="002C25A3"/>
    <w:rsid w:val="002D7F06"/>
    <w:rsid w:val="002E1205"/>
    <w:rsid w:val="002E4FDD"/>
    <w:rsid w:val="003153C8"/>
    <w:rsid w:val="00315827"/>
    <w:rsid w:val="00326F65"/>
    <w:rsid w:val="003613B6"/>
    <w:rsid w:val="00365BA3"/>
    <w:rsid w:val="003770BB"/>
    <w:rsid w:val="00377C3A"/>
    <w:rsid w:val="003A4991"/>
    <w:rsid w:val="003B4149"/>
    <w:rsid w:val="003D32D6"/>
    <w:rsid w:val="003D7317"/>
    <w:rsid w:val="003E4618"/>
    <w:rsid w:val="003E49E0"/>
    <w:rsid w:val="00400F22"/>
    <w:rsid w:val="004303EA"/>
    <w:rsid w:val="0043122D"/>
    <w:rsid w:val="004323C8"/>
    <w:rsid w:val="004450AB"/>
    <w:rsid w:val="00450AC3"/>
    <w:rsid w:val="00455310"/>
    <w:rsid w:val="00462A9D"/>
    <w:rsid w:val="0047225B"/>
    <w:rsid w:val="00481AE9"/>
    <w:rsid w:val="00483953"/>
    <w:rsid w:val="004A6BA7"/>
    <w:rsid w:val="004A744B"/>
    <w:rsid w:val="004B6EC7"/>
    <w:rsid w:val="004D6CC5"/>
    <w:rsid w:val="004D72FA"/>
    <w:rsid w:val="004E07DE"/>
    <w:rsid w:val="004E584E"/>
    <w:rsid w:val="005079B5"/>
    <w:rsid w:val="00511D2B"/>
    <w:rsid w:val="00512C6C"/>
    <w:rsid w:val="00514079"/>
    <w:rsid w:val="00516067"/>
    <w:rsid w:val="0054267B"/>
    <w:rsid w:val="00563E30"/>
    <w:rsid w:val="0059784B"/>
    <w:rsid w:val="005C7040"/>
    <w:rsid w:val="005D4661"/>
    <w:rsid w:val="005E5FF1"/>
    <w:rsid w:val="00600BD0"/>
    <w:rsid w:val="0060583A"/>
    <w:rsid w:val="00627C29"/>
    <w:rsid w:val="00630CE7"/>
    <w:rsid w:val="00641EAE"/>
    <w:rsid w:val="00645730"/>
    <w:rsid w:val="00673908"/>
    <w:rsid w:val="006801D0"/>
    <w:rsid w:val="00691161"/>
    <w:rsid w:val="006B012B"/>
    <w:rsid w:val="006D4997"/>
    <w:rsid w:val="007072D2"/>
    <w:rsid w:val="00712770"/>
    <w:rsid w:val="00721E59"/>
    <w:rsid w:val="007264AF"/>
    <w:rsid w:val="0073237A"/>
    <w:rsid w:val="00757D3A"/>
    <w:rsid w:val="007B1591"/>
    <w:rsid w:val="007B288F"/>
    <w:rsid w:val="007F2596"/>
    <w:rsid w:val="007F3AC4"/>
    <w:rsid w:val="00807395"/>
    <w:rsid w:val="00836004"/>
    <w:rsid w:val="008474BF"/>
    <w:rsid w:val="0087332D"/>
    <w:rsid w:val="00877462"/>
    <w:rsid w:val="008839AE"/>
    <w:rsid w:val="00886903"/>
    <w:rsid w:val="008B5F56"/>
    <w:rsid w:val="008B66D3"/>
    <w:rsid w:val="008C0AF0"/>
    <w:rsid w:val="008E4686"/>
    <w:rsid w:val="008E693B"/>
    <w:rsid w:val="008E7CBC"/>
    <w:rsid w:val="009136AF"/>
    <w:rsid w:val="00945648"/>
    <w:rsid w:val="00955085"/>
    <w:rsid w:val="009835C7"/>
    <w:rsid w:val="009A1D9F"/>
    <w:rsid w:val="009C0E62"/>
    <w:rsid w:val="009C41D3"/>
    <w:rsid w:val="009D5208"/>
    <w:rsid w:val="009E7562"/>
    <w:rsid w:val="00A05D3A"/>
    <w:rsid w:val="00A274D1"/>
    <w:rsid w:val="00A50A05"/>
    <w:rsid w:val="00A618D5"/>
    <w:rsid w:val="00A63772"/>
    <w:rsid w:val="00A81F6C"/>
    <w:rsid w:val="00A948B7"/>
    <w:rsid w:val="00AC4C2E"/>
    <w:rsid w:val="00AC5037"/>
    <w:rsid w:val="00AF2BF8"/>
    <w:rsid w:val="00B02E97"/>
    <w:rsid w:val="00B13458"/>
    <w:rsid w:val="00B15C57"/>
    <w:rsid w:val="00B20F23"/>
    <w:rsid w:val="00B25C04"/>
    <w:rsid w:val="00B410E0"/>
    <w:rsid w:val="00B46188"/>
    <w:rsid w:val="00B638B4"/>
    <w:rsid w:val="00B87319"/>
    <w:rsid w:val="00BA0D8E"/>
    <w:rsid w:val="00BC6CBE"/>
    <w:rsid w:val="00BD49D1"/>
    <w:rsid w:val="00BF02B7"/>
    <w:rsid w:val="00BF7FD7"/>
    <w:rsid w:val="00C05FC8"/>
    <w:rsid w:val="00C275A4"/>
    <w:rsid w:val="00C34FF7"/>
    <w:rsid w:val="00C35703"/>
    <w:rsid w:val="00C446D1"/>
    <w:rsid w:val="00C4653C"/>
    <w:rsid w:val="00C678AE"/>
    <w:rsid w:val="00C71358"/>
    <w:rsid w:val="00C75A26"/>
    <w:rsid w:val="00C84D83"/>
    <w:rsid w:val="00CB4B06"/>
    <w:rsid w:val="00CC6C8A"/>
    <w:rsid w:val="00CE064A"/>
    <w:rsid w:val="00CE43F3"/>
    <w:rsid w:val="00D04419"/>
    <w:rsid w:val="00D13B52"/>
    <w:rsid w:val="00D13F49"/>
    <w:rsid w:val="00D22B6C"/>
    <w:rsid w:val="00D244AF"/>
    <w:rsid w:val="00D30D44"/>
    <w:rsid w:val="00D4183F"/>
    <w:rsid w:val="00D43F5C"/>
    <w:rsid w:val="00D63717"/>
    <w:rsid w:val="00D656D7"/>
    <w:rsid w:val="00D73DD7"/>
    <w:rsid w:val="00D75E70"/>
    <w:rsid w:val="00D92143"/>
    <w:rsid w:val="00D92C38"/>
    <w:rsid w:val="00D97FC0"/>
    <w:rsid w:val="00DE221D"/>
    <w:rsid w:val="00DE4E80"/>
    <w:rsid w:val="00DF7BE3"/>
    <w:rsid w:val="00E0380C"/>
    <w:rsid w:val="00E12D42"/>
    <w:rsid w:val="00E2624B"/>
    <w:rsid w:val="00E36FA9"/>
    <w:rsid w:val="00E477C3"/>
    <w:rsid w:val="00E71DA4"/>
    <w:rsid w:val="00EA0835"/>
    <w:rsid w:val="00EB1348"/>
    <w:rsid w:val="00EC256B"/>
    <w:rsid w:val="00EE2E10"/>
    <w:rsid w:val="00EE3E97"/>
    <w:rsid w:val="00EF0D1E"/>
    <w:rsid w:val="00F107AF"/>
    <w:rsid w:val="00F312B4"/>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96"/>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paragraph" w:styleId="Header">
    <w:name w:val="header"/>
    <w:basedOn w:val="Normal"/>
    <w:link w:val="HeaderChar"/>
    <w:uiPriority w:val="99"/>
    <w:semiHidden/>
    <w:unhideWhenUsed/>
    <w:rsid w:val="0064573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45730"/>
  </w:style>
  <w:style w:type="paragraph" w:styleId="Footer">
    <w:name w:val="footer"/>
    <w:basedOn w:val="Normal"/>
    <w:link w:val="FooterChar"/>
    <w:uiPriority w:val="99"/>
    <w:semiHidden/>
    <w:unhideWhenUsed/>
    <w:rsid w:val="0064573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45730"/>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2366</Words>
  <Characters>13488</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6</cp:revision>
  <cp:lastPrinted>2016-11-08T10:50:00Z</cp:lastPrinted>
  <dcterms:created xsi:type="dcterms:W3CDTF">2020-11-23T15:10:00Z</dcterms:created>
  <dcterms:modified xsi:type="dcterms:W3CDTF">2020-11-24T07:44:00Z</dcterms:modified>
</cp:coreProperties>
</file>