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AC14D" w14:textId="77777777" w:rsidR="00D2151E" w:rsidRPr="004A2923" w:rsidRDefault="00CD1A99" w:rsidP="00663545">
      <w:pPr>
        <w:pStyle w:val="NoSpacing"/>
      </w:pPr>
      <w:r w:rsidRPr="004A2923">
        <w:t xml:space="preserve">HRVATSKO NARODNO KAZALIŠTE </w:t>
      </w:r>
      <w:r w:rsidR="007561A9" w:rsidRPr="004A2923">
        <w:t xml:space="preserve">U </w:t>
      </w:r>
      <w:r w:rsidRPr="004A2923">
        <w:t>ZAGREB</w:t>
      </w:r>
      <w:r w:rsidR="007561A9" w:rsidRPr="004A2923">
        <w:t>U</w:t>
      </w:r>
    </w:p>
    <w:p w14:paraId="6976871A" w14:textId="77777777" w:rsidR="00CD1A99" w:rsidRPr="004A2923" w:rsidRDefault="00106869">
      <w:pPr>
        <w:rPr>
          <w:b/>
          <w:bCs/>
        </w:rPr>
      </w:pPr>
      <w:r w:rsidRPr="004A2923">
        <w:rPr>
          <w:b/>
          <w:bCs/>
        </w:rPr>
        <w:t>RAZDJEL:</w:t>
      </w:r>
      <w:r w:rsidR="00D63D1D" w:rsidRPr="004A2923">
        <w:rPr>
          <w:b/>
          <w:bCs/>
        </w:rPr>
        <w:t xml:space="preserve"> </w:t>
      </w:r>
      <w:r w:rsidRPr="004A2923">
        <w:rPr>
          <w:b/>
          <w:bCs/>
        </w:rPr>
        <w:t xml:space="preserve"> MINISTARSTVO KULTURE</w:t>
      </w:r>
    </w:p>
    <w:p w14:paraId="0329F260" w14:textId="77777777" w:rsidR="00106869" w:rsidRPr="004A2923" w:rsidRDefault="00106869">
      <w:pPr>
        <w:rPr>
          <w:b/>
          <w:bCs/>
        </w:rPr>
      </w:pPr>
      <w:r w:rsidRPr="004A2923">
        <w:rPr>
          <w:b/>
          <w:bCs/>
        </w:rPr>
        <w:t xml:space="preserve">GLAVA: </w:t>
      </w:r>
      <w:r w:rsidR="0089716D" w:rsidRPr="004A2923">
        <w:rPr>
          <w:b/>
          <w:bCs/>
        </w:rPr>
        <w:t>05</w:t>
      </w:r>
      <w:r w:rsidRPr="004A2923">
        <w:rPr>
          <w:b/>
          <w:bCs/>
        </w:rPr>
        <w:t>5 HRVATSKO NARODNO KAZALIŠTE U ZAGREBU</w:t>
      </w:r>
    </w:p>
    <w:p w14:paraId="7B43FF00" w14:textId="77777777" w:rsidR="00106869" w:rsidRPr="004A2923" w:rsidRDefault="00106869">
      <w:pPr>
        <w:rPr>
          <w:b/>
          <w:bCs/>
        </w:rPr>
      </w:pPr>
      <w:r w:rsidRPr="004A2923">
        <w:rPr>
          <w:b/>
          <w:bCs/>
        </w:rPr>
        <w:t>RKP: 25878</w:t>
      </w:r>
    </w:p>
    <w:p w14:paraId="7A9A90B2" w14:textId="77777777" w:rsidR="00106869" w:rsidRPr="004A2923" w:rsidRDefault="00106869">
      <w:pPr>
        <w:rPr>
          <w:b/>
          <w:bCs/>
        </w:rPr>
      </w:pPr>
      <w:r w:rsidRPr="004A2923">
        <w:rPr>
          <w:b/>
          <w:bCs/>
        </w:rPr>
        <w:t>ŠIFRA DJELATNOSTI: 9001</w:t>
      </w:r>
    </w:p>
    <w:p w14:paraId="16ADEA96" w14:textId="77777777" w:rsidR="00106869" w:rsidRPr="004A2923" w:rsidRDefault="00106869">
      <w:pPr>
        <w:rPr>
          <w:b/>
          <w:bCs/>
        </w:rPr>
      </w:pPr>
      <w:r w:rsidRPr="004A2923">
        <w:rPr>
          <w:b/>
          <w:bCs/>
        </w:rPr>
        <w:t>ADRESA SJEDIŠTA: TRG REPUBLIKE</w:t>
      </w:r>
      <w:r w:rsidR="00E83E27" w:rsidRPr="004A2923">
        <w:rPr>
          <w:b/>
          <w:bCs/>
        </w:rPr>
        <w:t xml:space="preserve"> HRVATSKE </w:t>
      </w:r>
      <w:r w:rsidRPr="004A2923">
        <w:rPr>
          <w:b/>
          <w:bCs/>
        </w:rPr>
        <w:t xml:space="preserve"> 15, ZAGREB</w:t>
      </w:r>
    </w:p>
    <w:p w14:paraId="290D41F4" w14:textId="77777777" w:rsidR="00106869" w:rsidRPr="004A2923" w:rsidRDefault="00106869"/>
    <w:p w14:paraId="7CA7EFB9" w14:textId="77777777" w:rsidR="00132702" w:rsidRPr="004A2923" w:rsidRDefault="00132702" w:rsidP="00132702">
      <w:pPr>
        <w:pStyle w:val="Title"/>
        <w:ind w:left="567" w:right="567"/>
        <w:outlineLvl w:val="0"/>
      </w:pPr>
      <w:r w:rsidRPr="004A2923">
        <w:t xml:space="preserve">BILJEŠKE UZ FINANCIJSKE IZVJEŠTAJE ZA RAZDOBLJE </w:t>
      </w:r>
    </w:p>
    <w:p w14:paraId="51A4945A" w14:textId="77777777" w:rsidR="00132702" w:rsidRPr="004A2923" w:rsidRDefault="00132702" w:rsidP="00132702">
      <w:pPr>
        <w:pStyle w:val="Title"/>
        <w:numPr>
          <w:ilvl w:val="0"/>
          <w:numId w:val="3"/>
        </w:numPr>
        <w:ind w:right="567"/>
        <w:outlineLvl w:val="0"/>
      </w:pPr>
      <w:r w:rsidRPr="004A2923">
        <w:t>SIJEČNJA – 31. PROSINCA 2022.</w:t>
      </w:r>
    </w:p>
    <w:p w14:paraId="31DC1C2F" w14:textId="77777777" w:rsidR="00132702" w:rsidRPr="004A2923" w:rsidRDefault="00132702" w:rsidP="00132702">
      <w:pPr>
        <w:pStyle w:val="Title"/>
        <w:ind w:left="927" w:right="567"/>
        <w:jc w:val="left"/>
        <w:outlineLvl w:val="0"/>
      </w:pPr>
    </w:p>
    <w:p w14:paraId="64320898" w14:textId="77777777" w:rsidR="00132702" w:rsidRPr="004A2923" w:rsidRDefault="00132702" w:rsidP="00132702">
      <w:pPr>
        <w:pStyle w:val="Heading1"/>
      </w:pPr>
      <w:r w:rsidRPr="004A2923">
        <w:t>Zakonski okvir</w:t>
      </w:r>
    </w:p>
    <w:p w14:paraId="6E80A108" w14:textId="77777777" w:rsidR="00132702" w:rsidRPr="004A2923" w:rsidRDefault="00132702" w:rsidP="00132702"/>
    <w:p w14:paraId="57AEACBC" w14:textId="77777777" w:rsidR="00132702" w:rsidRPr="004A2923" w:rsidRDefault="00132702" w:rsidP="00132702">
      <w:pPr>
        <w:numPr>
          <w:ilvl w:val="0"/>
          <w:numId w:val="4"/>
        </w:numPr>
        <w:spacing w:after="0" w:line="240" w:lineRule="auto"/>
        <w:jc w:val="both"/>
      </w:pPr>
      <w:r w:rsidRPr="004A2923">
        <w:t xml:space="preserve">Zakon o proračunu </w:t>
      </w:r>
    </w:p>
    <w:p w14:paraId="632599D0" w14:textId="77777777" w:rsidR="00132702" w:rsidRPr="004A2923" w:rsidRDefault="00132702" w:rsidP="00EE7F8D">
      <w:pPr>
        <w:numPr>
          <w:ilvl w:val="0"/>
          <w:numId w:val="4"/>
        </w:numPr>
        <w:spacing w:after="0" w:line="240" w:lineRule="auto"/>
        <w:jc w:val="both"/>
      </w:pPr>
      <w:r w:rsidRPr="004A2923">
        <w:t xml:space="preserve">Zakon o izvršavanju Državnog proračuna Republike Hrvatske </w:t>
      </w:r>
    </w:p>
    <w:p w14:paraId="348AA185" w14:textId="77777777" w:rsidR="00132702" w:rsidRPr="004A2923" w:rsidRDefault="00132702" w:rsidP="00EE7F8D">
      <w:pPr>
        <w:numPr>
          <w:ilvl w:val="0"/>
          <w:numId w:val="4"/>
        </w:numPr>
        <w:spacing w:after="0" w:line="240" w:lineRule="auto"/>
        <w:jc w:val="both"/>
      </w:pPr>
      <w:r w:rsidRPr="004A2923">
        <w:t xml:space="preserve">Pravilnik o proračunskom računovodstvu i računskom planu </w:t>
      </w:r>
    </w:p>
    <w:p w14:paraId="456346CE" w14:textId="77777777" w:rsidR="00132702" w:rsidRPr="004A2923" w:rsidRDefault="00132702" w:rsidP="00EE7F8D">
      <w:pPr>
        <w:numPr>
          <w:ilvl w:val="0"/>
          <w:numId w:val="4"/>
        </w:numPr>
        <w:spacing w:after="0" w:line="240" w:lineRule="auto"/>
        <w:jc w:val="both"/>
      </w:pPr>
      <w:r w:rsidRPr="004A2923">
        <w:t xml:space="preserve">Pravilnik o financijskom izvještavanju u proračunskom računovodstvu </w:t>
      </w:r>
    </w:p>
    <w:p w14:paraId="0CA01E5D" w14:textId="77777777" w:rsidR="00132702" w:rsidRPr="004A2923" w:rsidRDefault="00132702" w:rsidP="00132702">
      <w:pPr>
        <w:numPr>
          <w:ilvl w:val="0"/>
          <w:numId w:val="4"/>
        </w:numPr>
        <w:spacing w:after="0" w:line="240" w:lineRule="auto"/>
        <w:jc w:val="both"/>
      </w:pPr>
      <w:r w:rsidRPr="004A2923">
        <w:t xml:space="preserve">Pravilnik o proračunskim klasifikacijama </w:t>
      </w:r>
    </w:p>
    <w:p w14:paraId="75B97ADF" w14:textId="77777777" w:rsidR="004B3D7B" w:rsidRPr="004A2923" w:rsidRDefault="007E524A" w:rsidP="00EE7F8D">
      <w:pPr>
        <w:numPr>
          <w:ilvl w:val="0"/>
          <w:numId w:val="4"/>
        </w:numPr>
        <w:spacing w:after="0" w:line="240" w:lineRule="auto"/>
        <w:jc w:val="both"/>
      </w:pPr>
      <w:r w:rsidRPr="004A2923">
        <w:t>Uredbi o računovodstvu proračuna</w:t>
      </w:r>
    </w:p>
    <w:p w14:paraId="67ABB9D7" w14:textId="77777777" w:rsidR="00132702" w:rsidRPr="004A2923" w:rsidRDefault="00132702" w:rsidP="00132702">
      <w:pPr>
        <w:spacing w:after="0" w:line="240" w:lineRule="auto"/>
        <w:ind w:left="720"/>
        <w:jc w:val="both"/>
      </w:pPr>
    </w:p>
    <w:p w14:paraId="42055E9F" w14:textId="77777777" w:rsidR="00EE7F8D" w:rsidRPr="004A2923" w:rsidRDefault="00EE7F8D" w:rsidP="00132702">
      <w:pPr>
        <w:spacing w:after="0" w:line="240" w:lineRule="auto"/>
        <w:ind w:left="720"/>
        <w:jc w:val="both"/>
      </w:pPr>
    </w:p>
    <w:p w14:paraId="630BDAB8" w14:textId="77777777" w:rsidR="00EE7F8D" w:rsidRPr="004A2923" w:rsidRDefault="00EE7F8D" w:rsidP="00EE7F8D">
      <w:pPr>
        <w:pStyle w:val="BodyText"/>
      </w:pPr>
      <w:r w:rsidRPr="004A2923">
        <w:t>Izvještaj o prihodima i rashodima, primicima i izdacima sastavljen je za razdoblje 1. siječnja do 31. prosinca 2022. Podaci za popunjavanje financijskih izvještaja dobivaju se iz Glavne knjige Hrvatskog narodnog kazališta koju informatički podržava Konto sustav.</w:t>
      </w:r>
    </w:p>
    <w:p w14:paraId="58D2A054" w14:textId="77777777" w:rsidR="00132702" w:rsidRPr="004A2923" w:rsidRDefault="00132702"/>
    <w:p w14:paraId="235DAE67" w14:textId="77777777" w:rsidR="006A463D" w:rsidRDefault="006A463D" w:rsidP="003F6631">
      <w:pPr>
        <w:pStyle w:val="BodyText"/>
      </w:pPr>
      <w:r w:rsidRPr="004A2923">
        <w:t>U 20</w:t>
      </w:r>
      <w:r w:rsidR="00472697" w:rsidRPr="004A2923">
        <w:t>2</w:t>
      </w:r>
      <w:r w:rsidR="00C02379" w:rsidRPr="004A2923">
        <w:t>2</w:t>
      </w:r>
      <w:r w:rsidRPr="004A2923">
        <w:t>. godini su izvedene premijerne predstave:</w:t>
      </w:r>
    </w:p>
    <w:p w14:paraId="5BF870DF" w14:textId="77777777" w:rsidR="00184BCD" w:rsidRPr="004A2923" w:rsidRDefault="00184BCD" w:rsidP="003F6631">
      <w:pPr>
        <w:pStyle w:val="BodyText"/>
      </w:pPr>
    </w:p>
    <w:p w14:paraId="650EF17A" w14:textId="77777777" w:rsidR="00184BCD" w:rsidRDefault="006A463D" w:rsidP="003F6631">
      <w:pPr>
        <w:pStyle w:val="BodyText"/>
      </w:pPr>
      <w:r w:rsidRPr="00184BCD">
        <w:rPr>
          <w:b/>
          <w:bCs/>
        </w:rPr>
        <w:t>Drama</w:t>
      </w:r>
      <w:r w:rsidRPr="004A2923">
        <w:t xml:space="preserve">: </w:t>
      </w:r>
      <w:r w:rsidR="005C6A60" w:rsidRPr="004A2923">
        <w:t xml:space="preserve"> </w:t>
      </w:r>
    </w:p>
    <w:p w14:paraId="0952C6B1" w14:textId="77777777" w:rsidR="003F6631" w:rsidRPr="004A2923" w:rsidRDefault="003F6631" w:rsidP="003F6631">
      <w:pPr>
        <w:pStyle w:val="BodyText"/>
      </w:pPr>
      <w:r w:rsidRPr="004A2923">
        <w:t>27. veljače 2022. Ksenija Zec ZAGRLJAJI</w:t>
      </w:r>
    </w:p>
    <w:p w14:paraId="479D20F5" w14:textId="77777777" w:rsidR="003F6631" w:rsidRPr="004A2923" w:rsidRDefault="003F6631" w:rsidP="003F6631">
      <w:pPr>
        <w:pStyle w:val="BodyText"/>
      </w:pPr>
      <w:r w:rsidRPr="004A2923">
        <w:t xml:space="preserve">11. ožujka 2022. Maja </w:t>
      </w:r>
      <w:proofErr w:type="spellStart"/>
      <w:r w:rsidRPr="004A2923">
        <w:t>Lunde</w:t>
      </w:r>
      <w:proofErr w:type="spellEnd"/>
      <w:r w:rsidRPr="004A2923">
        <w:t xml:space="preserve"> POVIJEST PČELA</w:t>
      </w:r>
    </w:p>
    <w:p w14:paraId="72063ABB" w14:textId="77777777" w:rsidR="003F6631" w:rsidRPr="004A2923" w:rsidRDefault="003F6631" w:rsidP="003F6631">
      <w:pPr>
        <w:pStyle w:val="BodyText"/>
      </w:pPr>
      <w:r w:rsidRPr="004A2923">
        <w:t xml:space="preserve">18. svibnja 2022. Ugo </w:t>
      </w:r>
      <w:proofErr w:type="spellStart"/>
      <w:r w:rsidRPr="004A2923">
        <w:t>Betti</w:t>
      </w:r>
      <w:proofErr w:type="spellEnd"/>
      <w:r w:rsidRPr="004A2923">
        <w:t xml:space="preserve"> ZLOČIN NA KOZJEM OTOKU</w:t>
      </w:r>
    </w:p>
    <w:p w14:paraId="74080F11" w14:textId="77777777" w:rsidR="003F6631" w:rsidRPr="004A2923" w:rsidRDefault="003F6631" w:rsidP="003F6631">
      <w:pPr>
        <w:pStyle w:val="BodyText"/>
      </w:pPr>
      <w:r w:rsidRPr="004A2923">
        <w:t>15. lipnja 2022. Bobo Jelčić SORRY</w:t>
      </w:r>
    </w:p>
    <w:p w14:paraId="7436F82F" w14:textId="77777777" w:rsidR="003F6631" w:rsidRPr="004A2923" w:rsidRDefault="003F6631" w:rsidP="003F6631">
      <w:pPr>
        <w:pStyle w:val="BodyText"/>
      </w:pPr>
      <w:r w:rsidRPr="004A2923">
        <w:t>26. lipnja 2022. Miranda Hill PREDSTAVA ZA ŽIVE U DOBA IZUMIRANJA</w:t>
      </w:r>
    </w:p>
    <w:p w14:paraId="7BDC0A66" w14:textId="77777777" w:rsidR="003F6631" w:rsidRPr="004A2923" w:rsidRDefault="003F6631" w:rsidP="003F6631">
      <w:pPr>
        <w:pStyle w:val="BodyText"/>
      </w:pPr>
      <w:r w:rsidRPr="004A2923">
        <w:t xml:space="preserve">8. </w:t>
      </w:r>
      <w:r w:rsidR="00184BCD">
        <w:t>l</w:t>
      </w:r>
      <w:r w:rsidRPr="004A2923">
        <w:t xml:space="preserve">istopada 2022. Jean – Baptiste </w:t>
      </w:r>
      <w:proofErr w:type="spellStart"/>
      <w:r w:rsidRPr="004A2923">
        <w:t>Poquelin</w:t>
      </w:r>
      <w:proofErr w:type="spellEnd"/>
      <w:r w:rsidRPr="004A2923">
        <w:t xml:space="preserve"> Molière DON JUAN</w:t>
      </w:r>
    </w:p>
    <w:p w14:paraId="4387D77A" w14:textId="77777777" w:rsidR="003F6631" w:rsidRPr="004A2923" w:rsidRDefault="003F6631" w:rsidP="003F6631">
      <w:pPr>
        <w:pStyle w:val="BodyText"/>
      </w:pPr>
      <w:r w:rsidRPr="004A2923">
        <w:t>9. prosinca 2022. Marina Vujčić PLODNA VODA</w:t>
      </w:r>
    </w:p>
    <w:p w14:paraId="4D6236DD" w14:textId="77777777" w:rsidR="00184BCD" w:rsidRDefault="006A463D" w:rsidP="003F6631">
      <w:pPr>
        <w:pStyle w:val="BodyText"/>
      </w:pPr>
      <w:r w:rsidRPr="00184BCD">
        <w:rPr>
          <w:b/>
          <w:bCs/>
        </w:rPr>
        <w:t>Opera:</w:t>
      </w:r>
      <w:r w:rsidR="005C6A60" w:rsidRPr="004A2923">
        <w:t xml:space="preserve"> </w:t>
      </w:r>
      <w:r w:rsidR="001474E1" w:rsidRPr="004A2923">
        <w:t xml:space="preserve"> </w:t>
      </w:r>
    </w:p>
    <w:p w14:paraId="4BDFAA6E" w14:textId="77777777" w:rsidR="003F6631" w:rsidRPr="004A2923" w:rsidRDefault="003F6631" w:rsidP="003F6631">
      <w:pPr>
        <w:pStyle w:val="BodyText"/>
      </w:pPr>
      <w:r w:rsidRPr="004A2923">
        <w:t>Giuseppe Verdi, TRAVIATA: Premijera: 21. travnja 2022. </w:t>
      </w:r>
    </w:p>
    <w:p w14:paraId="5E9A183F" w14:textId="77777777" w:rsidR="003F6631" w:rsidRPr="004A2923" w:rsidRDefault="003F6631" w:rsidP="003F6631">
      <w:pPr>
        <w:pStyle w:val="BodyText"/>
      </w:pPr>
      <w:proofErr w:type="spellStart"/>
      <w:r w:rsidRPr="004A2923">
        <w:t>Giacomo</w:t>
      </w:r>
      <w:proofErr w:type="spellEnd"/>
      <w:r w:rsidRPr="004A2923">
        <w:t xml:space="preserve"> </w:t>
      </w:r>
      <w:proofErr w:type="spellStart"/>
      <w:r w:rsidRPr="004A2923">
        <w:t>Puccini</w:t>
      </w:r>
      <w:proofErr w:type="spellEnd"/>
      <w:r w:rsidRPr="004A2923">
        <w:t>, TOSCA: Premijera: 27. svibnja 2022. </w:t>
      </w:r>
    </w:p>
    <w:p w14:paraId="58A1245E" w14:textId="77777777" w:rsidR="003F6631" w:rsidRPr="004A2923" w:rsidRDefault="003F6631" w:rsidP="003F6631">
      <w:pPr>
        <w:pStyle w:val="BodyText"/>
      </w:pPr>
      <w:r w:rsidRPr="004A2923">
        <w:t>Giuseppe Verdi, NABUCCO: Premijera: 28. listopada 2022. </w:t>
      </w:r>
    </w:p>
    <w:p w14:paraId="38FD112D" w14:textId="77777777" w:rsidR="003F6631" w:rsidRPr="004A2923" w:rsidRDefault="003F6631" w:rsidP="003F6631">
      <w:pPr>
        <w:pStyle w:val="BodyText"/>
      </w:pPr>
      <w:r w:rsidRPr="004A2923">
        <w:t>Johann Strauss ml., ŠIŠMIŠ: Premijera: 29. prosinca 2022. </w:t>
      </w:r>
    </w:p>
    <w:p w14:paraId="5F88BBD2" w14:textId="77777777" w:rsidR="00184BCD" w:rsidRDefault="006A463D" w:rsidP="003F6631">
      <w:pPr>
        <w:pStyle w:val="BodyText"/>
      </w:pPr>
      <w:r w:rsidRPr="00184BCD">
        <w:rPr>
          <w:b/>
          <w:bCs/>
        </w:rPr>
        <w:t>Balet:</w:t>
      </w:r>
      <w:r w:rsidR="005C6A60" w:rsidRPr="004A2923">
        <w:t xml:space="preserve"> </w:t>
      </w:r>
      <w:r w:rsidR="001474E1" w:rsidRPr="004A2923">
        <w:t xml:space="preserve"> </w:t>
      </w:r>
      <w:r w:rsidR="00430172" w:rsidRPr="004A2923">
        <w:t xml:space="preserve">  </w:t>
      </w:r>
    </w:p>
    <w:p w14:paraId="1B9A4447" w14:textId="77777777" w:rsidR="00430172" w:rsidRPr="004A2923" w:rsidRDefault="00430172" w:rsidP="003F6631">
      <w:pPr>
        <w:pStyle w:val="BodyText"/>
      </w:pPr>
      <w:r w:rsidRPr="004A2923">
        <w:t xml:space="preserve">19.2.2022.          </w:t>
      </w:r>
      <w:proofErr w:type="spellStart"/>
      <w:r w:rsidRPr="004A2923">
        <w:t>Giselle</w:t>
      </w:r>
      <w:proofErr w:type="spellEnd"/>
    </w:p>
    <w:p w14:paraId="083A1B3B" w14:textId="77777777" w:rsidR="00430172" w:rsidRPr="004A2923" w:rsidRDefault="00430172" w:rsidP="003F6631">
      <w:pPr>
        <w:pStyle w:val="BodyText"/>
      </w:pPr>
      <w:r w:rsidRPr="004A2923">
        <w:t>25.6.2022.          Gospođa Bovary</w:t>
      </w:r>
    </w:p>
    <w:p w14:paraId="38336C31" w14:textId="77777777" w:rsidR="006A463D" w:rsidRPr="004A2923" w:rsidRDefault="006A463D"/>
    <w:p w14:paraId="27CA71C3" w14:textId="77777777" w:rsidR="004B2086" w:rsidRPr="004A2923" w:rsidRDefault="00106869">
      <w:r w:rsidRPr="004A2923">
        <w:t>Na dan 31.12.20</w:t>
      </w:r>
      <w:r w:rsidR="00B53522" w:rsidRPr="004A2923">
        <w:t>2</w:t>
      </w:r>
      <w:r w:rsidR="00C02379" w:rsidRPr="004A2923">
        <w:t>2</w:t>
      </w:r>
      <w:r w:rsidRPr="004A2923">
        <w:t>.</w:t>
      </w:r>
      <w:r w:rsidR="001F71EF" w:rsidRPr="004A2923">
        <w:t xml:space="preserve"> </w:t>
      </w:r>
      <w:r w:rsidRPr="004A2923">
        <w:t xml:space="preserve">HNK ima </w:t>
      </w:r>
      <w:r w:rsidR="004B2086" w:rsidRPr="004A2923">
        <w:t>4</w:t>
      </w:r>
      <w:r w:rsidR="001474E1" w:rsidRPr="004A2923">
        <w:t>6</w:t>
      </w:r>
      <w:r w:rsidR="004D71AA" w:rsidRPr="004A2923">
        <w:t>7</w:t>
      </w:r>
      <w:r w:rsidR="004B2086" w:rsidRPr="004A2923">
        <w:t xml:space="preserve"> zaposleni</w:t>
      </w:r>
      <w:r w:rsidR="001F71EF" w:rsidRPr="004A2923">
        <w:t>h</w:t>
      </w:r>
      <w:r w:rsidR="004B2086" w:rsidRPr="004A2923">
        <w:t>.</w:t>
      </w:r>
      <w:r w:rsidR="0044123F" w:rsidRPr="004A2923">
        <w:t xml:space="preserve"> </w:t>
      </w:r>
    </w:p>
    <w:p w14:paraId="1C7B1724" w14:textId="77777777" w:rsidR="004B2086" w:rsidRPr="004A2923" w:rsidRDefault="004B2086" w:rsidP="00184BCD">
      <w:pPr>
        <w:jc w:val="center"/>
        <w:rPr>
          <w:b/>
          <w:bCs/>
        </w:rPr>
      </w:pPr>
      <w:r w:rsidRPr="004A2923">
        <w:rPr>
          <w:b/>
          <w:bCs/>
        </w:rPr>
        <w:lastRenderedPageBreak/>
        <w:t>OBRAZLOŽENJE UZ OBRAZAC OBVEZE</w:t>
      </w:r>
    </w:p>
    <w:p w14:paraId="393376A0" w14:textId="77777777" w:rsidR="004B2086" w:rsidRPr="004A2923" w:rsidRDefault="007F14D6">
      <w:pPr>
        <w:rPr>
          <w:b/>
          <w:bCs/>
        </w:rPr>
      </w:pPr>
      <w:r w:rsidRPr="004A2923">
        <w:rPr>
          <w:b/>
          <w:bCs/>
        </w:rPr>
        <w:t>Bilješka br. 1</w:t>
      </w:r>
      <w:r w:rsidR="000B37E0">
        <w:rPr>
          <w:b/>
          <w:bCs/>
        </w:rPr>
        <w:t>.</w:t>
      </w:r>
    </w:p>
    <w:p w14:paraId="065ABAF6" w14:textId="77777777" w:rsidR="004B2086" w:rsidRPr="004A2923" w:rsidRDefault="00B92E98">
      <w:r>
        <w:t>VOO1</w:t>
      </w:r>
      <w:r w:rsidR="004B2086" w:rsidRPr="004A2923">
        <w:t xml:space="preserve"> Stanje obveza na početku izvještajnog razdoblja    </w:t>
      </w:r>
      <w:r w:rsidR="00B55A82" w:rsidRPr="004A2923">
        <w:t>7.391.153,71</w:t>
      </w:r>
      <w:r w:rsidR="004B2086" w:rsidRPr="004A2923">
        <w:t xml:space="preserve"> </w:t>
      </w:r>
      <w:r w:rsidR="00184BCD">
        <w:t>kn.</w:t>
      </w:r>
      <w:r w:rsidR="004B2086" w:rsidRPr="004A2923">
        <w:t xml:space="preserve">                         </w:t>
      </w:r>
      <w:r w:rsidR="001474E1" w:rsidRPr="004A2923">
        <w:t xml:space="preserve">   </w:t>
      </w:r>
    </w:p>
    <w:p w14:paraId="61C312E2" w14:textId="77777777" w:rsidR="004B2086" w:rsidRPr="004A2923" w:rsidRDefault="00B92E98">
      <w:r>
        <w:t>VOO6</w:t>
      </w:r>
      <w:r w:rsidR="004B2086" w:rsidRPr="004A2923">
        <w:t xml:space="preserve"> Stanje obveza na kraju izvještajnog razdoblja         </w:t>
      </w:r>
      <w:r w:rsidR="00B55A82" w:rsidRPr="004A2923">
        <w:t>13.398.354,27</w:t>
      </w:r>
      <w:r w:rsidR="004B2086" w:rsidRPr="004A2923">
        <w:t xml:space="preserve">  </w:t>
      </w:r>
      <w:r w:rsidR="00184BCD">
        <w:t>kn.</w:t>
      </w:r>
      <w:r w:rsidR="004B2086" w:rsidRPr="004A2923">
        <w:t xml:space="preserve">                       </w:t>
      </w:r>
      <w:r w:rsidR="008B1D21" w:rsidRPr="004A2923">
        <w:t xml:space="preserve">    </w:t>
      </w:r>
    </w:p>
    <w:p w14:paraId="13B845B1" w14:textId="77777777" w:rsidR="00B55A82" w:rsidRPr="004A2923" w:rsidRDefault="00B92E98">
      <w:r>
        <w:t xml:space="preserve">VOO9 </w:t>
      </w:r>
      <w:r w:rsidR="00CA2EFA" w:rsidRPr="004A2923">
        <w:t xml:space="preserve">Stanje nedospjelih obveza       </w:t>
      </w:r>
      <w:r w:rsidR="00B55A82" w:rsidRPr="004A2923">
        <w:t>13.398.354,27</w:t>
      </w:r>
      <w:r w:rsidR="00184BCD">
        <w:t xml:space="preserve"> kn.</w:t>
      </w:r>
    </w:p>
    <w:p w14:paraId="1F5645C2" w14:textId="77777777" w:rsidR="00CA2EFA" w:rsidRPr="004A2923" w:rsidRDefault="00B55A82" w:rsidP="00184BCD">
      <w:pPr>
        <w:jc w:val="both"/>
      </w:pPr>
      <w:r w:rsidRPr="004A2923">
        <w:t xml:space="preserve">Nedospjele obveze su zaprimljeni računi za </w:t>
      </w:r>
      <w:r w:rsidR="00184BCD">
        <w:t xml:space="preserve">mjesec </w:t>
      </w:r>
      <w:r w:rsidRPr="004A2923">
        <w:t>prosinac 2022. s valutom plaćanja u siječnju 2023.</w:t>
      </w:r>
      <w:r w:rsidR="00CA2EFA" w:rsidRPr="004A2923">
        <w:t xml:space="preserve">  </w:t>
      </w:r>
      <w:r w:rsidRPr="004A2923">
        <w:t>Računi se odnose na režijske troškove : plin , struju , vodu</w:t>
      </w:r>
      <w:r w:rsidR="00184BCD">
        <w:t>; n</w:t>
      </w:r>
      <w:r w:rsidRPr="004A2923">
        <w:t>abavljeni materijal za predstave , materijal za higijenske potrepštine. Elaborat za održavanje zgrade HNK , harfa – instrument za koje trebamo dobiti povrat sredstava od Ministarstva kulture.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2268"/>
        <w:gridCol w:w="3119"/>
        <w:gridCol w:w="1134"/>
      </w:tblGrid>
      <w:tr w:rsidR="00BC617C" w:rsidRPr="004A2923" w14:paraId="16250E85" w14:textId="77777777" w:rsidTr="00BA0AAC">
        <w:trPr>
          <w:trHeight w:val="315"/>
        </w:trPr>
        <w:tc>
          <w:tcPr>
            <w:tcW w:w="2268" w:type="dxa"/>
            <w:noWrap/>
            <w:hideMark/>
          </w:tcPr>
          <w:p w14:paraId="4BBEEEA1" w14:textId="77777777" w:rsidR="00BC617C" w:rsidRPr="004A2923" w:rsidRDefault="00B92E98" w:rsidP="00184BCD">
            <w:pPr>
              <w:jc w:val="center"/>
            </w:pPr>
            <w:r>
              <w:t>VOO1</w:t>
            </w:r>
          </w:p>
        </w:tc>
        <w:tc>
          <w:tcPr>
            <w:tcW w:w="3119" w:type="dxa"/>
            <w:hideMark/>
          </w:tcPr>
          <w:p w14:paraId="76D57771" w14:textId="77777777" w:rsidR="00BC617C" w:rsidRPr="004A2923" w:rsidRDefault="00B92E98" w:rsidP="00184BCD">
            <w:pPr>
              <w:jc w:val="center"/>
            </w:pPr>
            <w:r>
              <w:t>VOO9</w:t>
            </w:r>
          </w:p>
        </w:tc>
        <w:tc>
          <w:tcPr>
            <w:tcW w:w="1134" w:type="dxa"/>
            <w:hideMark/>
          </w:tcPr>
          <w:p w14:paraId="76542BE6" w14:textId="77777777" w:rsidR="00BC617C" w:rsidRPr="004A2923" w:rsidRDefault="00184BCD" w:rsidP="00184BCD">
            <w:pPr>
              <w:jc w:val="center"/>
            </w:pPr>
            <w:r>
              <w:t>INDEKS</w:t>
            </w:r>
          </w:p>
        </w:tc>
      </w:tr>
      <w:tr w:rsidR="00BC617C" w:rsidRPr="004A2923" w14:paraId="3433B6C5" w14:textId="77777777" w:rsidTr="00BA0AAC">
        <w:trPr>
          <w:trHeight w:val="636"/>
        </w:trPr>
        <w:tc>
          <w:tcPr>
            <w:tcW w:w="2268" w:type="dxa"/>
            <w:hideMark/>
          </w:tcPr>
          <w:p w14:paraId="26AAB073" w14:textId="77777777" w:rsidR="00BC617C" w:rsidRPr="004A2923" w:rsidRDefault="00BC617C" w:rsidP="00184BCD">
            <w:pPr>
              <w:jc w:val="center"/>
            </w:pPr>
            <w:r w:rsidRPr="004A2923">
              <w:t>Stanje obveza 01.01.20</w:t>
            </w:r>
            <w:r w:rsidR="008B1D21" w:rsidRPr="004A2923">
              <w:t>2</w:t>
            </w:r>
            <w:r w:rsidR="00B55A82" w:rsidRPr="004A2923">
              <w:t>2</w:t>
            </w:r>
            <w:r w:rsidRPr="004A2923">
              <w:t>.</w:t>
            </w:r>
          </w:p>
        </w:tc>
        <w:tc>
          <w:tcPr>
            <w:tcW w:w="3119" w:type="dxa"/>
            <w:hideMark/>
          </w:tcPr>
          <w:p w14:paraId="7D400517" w14:textId="77777777" w:rsidR="00BC617C" w:rsidRPr="004A2923" w:rsidRDefault="00BC617C" w:rsidP="00184BCD">
            <w:pPr>
              <w:jc w:val="center"/>
            </w:pPr>
            <w:r w:rsidRPr="004A2923">
              <w:t>Stanje obveza na kraju izvještajnog razdoblja</w:t>
            </w:r>
          </w:p>
        </w:tc>
        <w:tc>
          <w:tcPr>
            <w:tcW w:w="1134" w:type="dxa"/>
            <w:hideMark/>
          </w:tcPr>
          <w:p w14:paraId="1C1030FA" w14:textId="77777777" w:rsidR="00BC617C" w:rsidRPr="004A2923" w:rsidRDefault="00BC617C">
            <w:r w:rsidRPr="004A2923">
              <w:t> </w:t>
            </w:r>
          </w:p>
        </w:tc>
      </w:tr>
      <w:tr w:rsidR="00BC617C" w:rsidRPr="004A2923" w14:paraId="67C98AF6" w14:textId="77777777" w:rsidTr="00BA0AAC">
        <w:trPr>
          <w:trHeight w:val="315"/>
        </w:trPr>
        <w:tc>
          <w:tcPr>
            <w:tcW w:w="2268" w:type="dxa"/>
            <w:hideMark/>
          </w:tcPr>
          <w:p w14:paraId="3EF77623" w14:textId="77777777" w:rsidR="00BC617C" w:rsidRPr="004A2923" w:rsidRDefault="00B55A82" w:rsidP="00184BCD">
            <w:pPr>
              <w:jc w:val="right"/>
            </w:pPr>
            <w:r w:rsidRPr="004A2923">
              <w:t>7.391.153,71</w:t>
            </w:r>
            <w:r w:rsidR="00BA0AAC">
              <w:t xml:space="preserve"> kn</w:t>
            </w:r>
          </w:p>
        </w:tc>
        <w:tc>
          <w:tcPr>
            <w:tcW w:w="3119" w:type="dxa"/>
            <w:hideMark/>
          </w:tcPr>
          <w:p w14:paraId="367BFD00" w14:textId="77777777" w:rsidR="00BC617C" w:rsidRPr="004A2923" w:rsidRDefault="00B55A82" w:rsidP="00184BCD">
            <w:pPr>
              <w:jc w:val="right"/>
            </w:pPr>
            <w:r w:rsidRPr="004A2923">
              <w:t>13.398.354,27</w:t>
            </w:r>
            <w:r w:rsidR="00BA0AAC">
              <w:t xml:space="preserve"> kn</w:t>
            </w:r>
          </w:p>
        </w:tc>
        <w:tc>
          <w:tcPr>
            <w:tcW w:w="1134" w:type="dxa"/>
            <w:hideMark/>
          </w:tcPr>
          <w:p w14:paraId="4DA5AC23" w14:textId="77777777" w:rsidR="00BC617C" w:rsidRPr="004A2923" w:rsidRDefault="001474E1" w:rsidP="00BC617C">
            <w:r w:rsidRPr="004A2923">
              <w:t xml:space="preserve"> </w:t>
            </w:r>
            <w:r w:rsidR="00184BCD">
              <w:t>181,28</w:t>
            </w:r>
          </w:p>
        </w:tc>
      </w:tr>
    </w:tbl>
    <w:p w14:paraId="39E4EDD0" w14:textId="77777777" w:rsidR="0096309C" w:rsidRPr="004A2923" w:rsidRDefault="0096309C">
      <w:pPr>
        <w:rPr>
          <w:color w:val="70AD47" w:themeColor="accent6"/>
        </w:rPr>
      </w:pPr>
    </w:p>
    <w:p w14:paraId="1E84145D" w14:textId="77777777" w:rsidR="000D24CD" w:rsidRPr="004A2923" w:rsidRDefault="00AE5755" w:rsidP="00184BCD">
      <w:pPr>
        <w:jc w:val="both"/>
      </w:pPr>
      <w:r w:rsidRPr="004A2923">
        <w:t>Obveze u 20</w:t>
      </w:r>
      <w:r w:rsidR="000D24CD" w:rsidRPr="004A2923">
        <w:t>2</w:t>
      </w:r>
      <w:r w:rsidR="00B55A82" w:rsidRPr="004A2923">
        <w:t>2</w:t>
      </w:r>
      <w:r w:rsidRPr="004A2923">
        <w:t xml:space="preserve">. godini su </w:t>
      </w:r>
      <w:r w:rsidR="00B55A82" w:rsidRPr="004A2923">
        <w:t xml:space="preserve">porasle u </w:t>
      </w:r>
      <w:r w:rsidRPr="004A2923">
        <w:t xml:space="preserve">odnosu na obveze s početka izvještajnog razdoblja </w:t>
      </w:r>
      <w:r w:rsidR="00184BCD">
        <w:t xml:space="preserve">radi ulaganja u nefinancijsku imovinu </w:t>
      </w:r>
      <w:r w:rsidR="00B55A82" w:rsidRPr="004A2923">
        <w:t>za koju HNK treba dobiti povrat sredstava od Ministarstva kulture i medija po ZNS-ovima. Zbog povećanja cijene energenata , poveća</w:t>
      </w:r>
      <w:r w:rsidR="00C24755" w:rsidRPr="004A2923">
        <w:t>ne su obveze na kraju izvještajnog razdoblja koje dospijevaju na naplatu u veljači 2023.</w:t>
      </w:r>
    </w:p>
    <w:p w14:paraId="4C0DF86B" w14:textId="77777777" w:rsidR="001601DF" w:rsidRPr="004A2923" w:rsidRDefault="001601DF">
      <w:r w:rsidRPr="004A2923">
        <w:t xml:space="preserve">Obveze za </w:t>
      </w:r>
      <w:r w:rsidR="00C24755" w:rsidRPr="004A2923">
        <w:t>rashode poslovanja</w:t>
      </w:r>
      <w:r w:rsidRPr="004A2923">
        <w:t xml:space="preserve"> u iznosu od </w:t>
      </w:r>
      <w:r w:rsidR="00C24755" w:rsidRPr="004A2923">
        <w:t>10.476.355,58</w:t>
      </w:r>
      <w:r w:rsidR="00184BCD">
        <w:t xml:space="preserve"> kn.</w:t>
      </w:r>
    </w:p>
    <w:p w14:paraId="4F000965" w14:textId="77777777" w:rsidR="001601DF" w:rsidRPr="004A2923" w:rsidRDefault="001601DF">
      <w:r w:rsidRPr="004A2923">
        <w:t xml:space="preserve">Obveze za </w:t>
      </w:r>
      <w:r w:rsidR="00C24755" w:rsidRPr="004A2923">
        <w:t>nabavu nefina</w:t>
      </w:r>
      <w:r w:rsidR="00184BCD">
        <w:t>n</w:t>
      </w:r>
      <w:r w:rsidR="00C24755" w:rsidRPr="004A2923">
        <w:t>cijske imovine 2.921.998,69</w:t>
      </w:r>
      <w:r w:rsidR="00184BCD">
        <w:t xml:space="preserve"> kn.</w:t>
      </w:r>
    </w:p>
    <w:p w14:paraId="4F755071" w14:textId="77777777" w:rsidR="001601DF" w:rsidRPr="004A2923" w:rsidRDefault="001601DF">
      <w:r w:rsidRPr="004A2923">
        <w:t>Svi računi</w:t>
      </w:r>
      <w:r w:rsidR="00184BCD">
        <w:t xml:space="preserve"> te obveze za zaposlene i za vanjske suradnike u cijelosti su podmireni tijekom mjeseca siječanj</w:t>
      </w:r>
      <w:r w:rsidR="00B92E98">
        <w:t>a</w:t>
      </w:r>
      <w:r w:rsidR="00184BCD">
        <w:t xml:space="preserve"> </w:t>
      </w:r>
      <w:r w:rsidRPr="004A2923">
        <w:t>202</w:t>
      </w:r>
      <w:r w:rsidR="00C24755" w:rsidRPr="004A2923">
        <w:t>3</w:t>
      </w:r>
      <w:r w:rsidRPr="004A2923">
        <w:t>. po dospijeću.</w:t>
      </w:r>
    </w:p>
    <w:p w14:paraId="629BD657" w14:textId="77777777" w:rsidR="009855D8" w:rsidRPr="004A2923" w:rsidRDefault="007725DC">
      <w:r w:rsidRPr="004A2923">
        <w:t xml:space="preserve"> </w:t>
      </w:r>
    </w:p>
    <w:p w14:paraId="0F7AB8E6" w14:textId="77777777" w:rsidR="00050177" w:rsidRPr="004A2923" w:rsidRDefault="00050177" w:rsidP="00BA0AAC">
      <w:pPr>
        <w:jc w:val="center"/>
        <w:rPr>
          <w:b/>
          <w:bCs/>
        </w:rPr>
      </w:pPr>
      <w:r w:rsidRPr="004A2923">
        <w:rPr>
          <w:b/>
          <w:bCs/>
        </w:rPr>
        <w:t>OBRAZLOŽENJE UZ OBRAZAC PR-RAS</w:t>
      </w:r>
    </w:p>
    <w:p w14:paraId="72141B9B" w14:textId="77777777" w:rsidR="00050177" w:rsidRPr="004A2923" w:rsidRDefault="007F14D6">
      <w:pPr>
        <w:rPr>
          <w:b/>
          <w:bCs/>
        </w:rPr>
      </w:pPr>
      <w:r w:rsidRPr="004A2923">
        <w:rPr>
          <w:b/>
          <w:bCs/>
        </w:rPr>
        <w:t>Bilješka br. 2</w:t>
      </w:r>
      <w:r w:rsidR="000B37E0">
        <w:rPr>
          <w:b/>
          <w:bCs/>
        </w:rPr>
        <w:t>.</w:t>
      </w:r>
      <w:r w:rsidRPr="004A2923">
        <w:rPr>
          <w:b/>
          <w:bCs/>
        </w:rPr>
        <w:t xml:space="preserve"> </w:t>
      </w:r>
      <w:r w:rsidR="00417034" w:rsidRPr="004A2923">
        <w:rPr>
          <w:b/>
          <w:bCs/>
        </w:rPr>
        <w:t xml:space="preserve"> Prihodi poslovanja </w:t>
      </w:r>
      <w:r w:rsidR="00BA0AAC">
        <w:rPr>
          <w:b/>
          <w:bCs/>
        </w:rPr>
        <w:t>(u kn)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64"/>
        <w:gridCol w:w="3000"/>
        <w:gridCol w:w="1701"/>
        <w:gridCol w:w="1701"/>
        <w:gridCol w:w="1560"/>
      </w:tblGrid>
      <w:tr w:rsidR="009B683B" w:rsidRPr="004A2923" w14:paraId="453DB56D" w14:textId="77777777" w:rsidTr="009B683B">
        <w:trPr>
          <w:trHeight w:val="825"/>
        </w:trPr>
        <w:tc>
          <w:tcPr>
            <w:tcW w:w="964" w:type="dxa"/>
            <w:hideMark/>
          </w:tcPr>
          <w:p w14:paraId="0873F12A" w14:textId="77777777" w:rsidR="009B683B" w:rsidRPr="004A2923" w:rsidRDefault="009B683B" w:rsidP="00BA0AAC">
            <w:pPr>
              <w:jc w:val="center"/>
            </w:pPr>
            <w:r w:rsidRPr="004A2923">
              <w:t>RAZRED</w:t>
            </w:r>
          </w:p>
        </w:tc>
        <w:tc>
          <w:tcPr>
            <w:tcW w:w="3000" w:type="dxa"/>
            <w:hideMark/>
          </w:tcPr>
          <w:p w14:paraId="62F78271" w14:textId="77777777" w:rsidR="009B683B" w:rsidRPr="004A2923" w:rsidRDefault="009B683B" w:rsidP="00BA0AAC">
            <w:pPr>
              <w:jc w:val="center"/>
            </w:pPr>
            <w:r w:rsidRPr="004A2923">
              <w:t>NAZIV</w:t>
            </w:r>
          </w:p>
        </w:tc>
        <w:tc>
          <w:tcPr>
            <w:tcW w:w="1701" w:type="dxa"/>
            <w:noWrap/>
            <w:hideMark/>
          </w:tcPr>
          <w:p w14:paraId="4C540D01" w14:textId="77777777" w:rsidR="009B683B" w:rsidRPr="004A2923" w:rsidRDefault="009B683B" w:rsidP="00BA0AAC">
            <w:pPr>
              <w:jc w:val="center"/>
            </w:pPr>
            <w:r w:rsidRPr="004A2923">
              <w:t>2021</w:t>
            </w:r>
          </w:p>
        </w:tc>
        <w:tc>
          <w:tcPr>
            <w:tcW w:w="1701" w:type="dxa"/>
            <w:noWrap/>
            <w:hideMark/>
          </w:tcPr>
          <w:p w14:paraId="4F83C50A" w14:textId="77777777" w:rsidR="009B683B" w:rsidRPr="004A2923" w:rsidRDefault="009B683B" w:rsidP="00BA0AAC">
            <w:pPr>
              <w:jc w:val="center"/>
            </w:pPr>
            <w:r w:rsidRPr="004A2923">
              <w:t>2022</w:t>
            </w:r>
          </w:p>
        </w:tc>
        <w:tc>
          <w:tcPr>
            <w:tcW w:w="1560" w:type="dxa"/>
            <w:noWrap/>
            <w:hideMark/>
          </w:tcPr>
          <w:p w14:paraId="0D2AFD22" w14:textId="77777777" w:rsidR="009B683B" w:rsidRPr="004A2923" w:rsidRDefault="009B683B" w:rsidP="00BA0AAC">
            <w:pPr>
              <w:jc w:val="center"/>
            </w:pPr>
            <w:r w:rsidRPr="004A2923">
              <w:t>INDEKS</w:t>
            </w:r>
          </w:p>
        </w:tc>
      </w:tr>
      <w:tr w:rsidR="009B683B" w:rsidRPr="004A2923" w14:paraId="4FDC4263" w14:textId="77777777" w:rsidTr="009B683B">
        <w:trPr>
          <w:trHeight w:val="315"/>
        </w:trPr>
        <w:tc>
          <w:tcPr>
            <w:tcW w:w="964" w:type="dxa"/>
            <w:noWrap/>
            <w:hideMark/>
          </w:tcPr>
          <w:p w14:paraId="6B65F9A7" w14:textId="77777777" w:rsidR="009B683B" w:rsidRPr="004A2923" w:rsidRDefault="009B683B" w:rsidP="007F14D6">
            <w:r w:rsidRPr="004A2923">
              <w:t>6</w:t>
            </w:r>
          </w:p>
        </w:tc>
        <w:tc>
          <w:tcPr>
            <w:tcW w:w="3000" w:type="dxa"/>
            <w:noWrap/>
            <w:hideMark/>
          </w:tcPr>
          <w:p w14:paraId="42275A74" w14:textId="77777777" w:rsidR="009B683B" w:rsidRPr="004A2923" w:rsidRDefault="009B683B">
            <w:r w:rsidRPr="004A2923">
              <w:t xml:space="preserve">PRIHODI POSLOVANJA </w:t>
            </w:r>
          </w:p>
        </w:tc>
        <w:tc>
          <w:tcPr>
            <w:tcW w:w="1701" w:type="dxa"/>
            <w:noWrap/>
            <w:hideMark/>
          </w:tcPr>
          <w:p w14:paraId="7AC5E56F" w14:textId="77777777" w:rsidR="009B683B" w:rsidRPr="004A2923" w:rsidRDefault="009B683B" w:rsidP="00BA0AAC">
            <w:pPr>
              <w:jc w:val="right"/>
            </w:pPr>
            <w:r w:rsidRPr="004A2923">
              <w:t>101.781.401,00</w:t>
            </w:r>
          </w:p>
        </w:tc>
        <w:tc>
          <w:tcPr>
            <w:tcW w:w="1701" w:type="dxa"/>
            <w:noWrap/>
            <w:hideMark/>
          </w:tcPr>
          <w:p w14:paraId="14FFD69A" w14:textId="77777777" w:rsidR="009B683B" w:rsidRPr="004A2923" w:rsidRDefault="009B683B" w:rsidP="00BA0AAC">
            <w:pPr>
              <w:jc w:val="right"/>
            </w:pPr>
            <w:r w:rsidRPr="004A2923">
              <w:t>134.417.218,30</w:t>
            </w:r>
          </w:p>
        </w:tc>
        <w:tc>
          <w:tcPr>
            <w:tcW w:w="1560" w:type="dxa"/>
            <w:noWrap/>
            <w:hideMark/>
          </w:tcPr>
          <w:p w14:paraId="35D88E6A" w14:textId="77777777" w:rsidR="009B683B" w:rsidRPr="004A2923" w:rsidRDefault="009B683B" w:rsidP="00BA0AAC">
            <w:pPr>
              <w:jc w:val="center"/>
            </w:pPr>
            <w:r w:rsidRPr="004A2923">
              <w:t>132,1</w:t>
            </w:r>
            <w:r>
              <w:t>0</w:t>
            </w:r>
          </w:p>
        </w:tc>
      </w:tr>
      <w:tr w:rsidR="009B683B" w:rsidRPr="004A2923" w14:paraId="4738820A" w14:textId="77777777" w:rsidTr="009B683B">
        <w:trPr>
          <w:trHeight w:val="850"/>
        </w:trPr>
        <w:tc>
          <w:tcPr>
            <w:tcW w:w="964" w:type="dxa"/>
            <w:noWrap/>
            <w:hideMark/>
          </w:tcPr>
          <w:p w14:paraId="4FEBAD8D" w14:textId="77777777" w:rsidR="009B683B" w:rsidRPr="004A2923" w:rsidRDefault="009B683B" w:rsidP="00641D77">
            <w:r w:rsidRPr="004A2923">
              <w:t>63</w:t>
            </w:r>
          </w:p>
        </w:tc>
        <w:tc>
          <w:tcPr>
            <w:tcW w:w="3000" w:type="dxa"/>
            <w:hideMark/>
          </w:tcPr>
          <w:p w14:paraId="1F6DCF0B" w14:textId="77777777" w:rsidR="009B683B" w:rsidRPr="004A2923" w:rsidRDefault="009B683B" w:rsidP="00641D77">
            <w:r w:rsidRPr="004A2923">
              <w:t xml:space="preserve">Pomoći iz inozemstva i od subjekata unutar općeg proračuna </w:t>
            </w:r>
          </w:p>
        </w:tc>
        <w:tc>
          <w:tcPr>
            <w:tcW w:w="1701" w:type="dxa"/>
            <w:noWrap/>
            <w:hideMark/>
          </w:tcPr>
          <w:p w14:paraId="52ACA426" w14:textId="77777777" w:rsidR="009B683B" w:rsidRPr="004A2923" w:rsidRDefault="009B683B" w:rsidP="00BA0AAC">
            <w:pPr>
              <w:jc w:val="right"/>
            </w:pPr>
            <w:r w:rsidRPr="004A2923">
              <w:t>45.572.963</w:t>
            </w:r>
            <w:r>
              <w:t>,00</w:t>
            </w:r>
          </w:p>
        </w:tc>
        <w:tc>
          <w:tcPr>
            <w:tcW w:w="1701" w:type="dxa"/>
            <w:noWrap/>
            <w:hideMark/>
          </w:tcPr>
          <w:p w14:paraId="442226C3" w14:textId="77777777" w:rsidR="009B683B" w:rsidRPr="004A2923" w:rsidRDefault="009B683B" w:rsidP="00BA0AAC">
            <w:pPr>
              <w:jc w:val="right"/>
            </w:pPr>
            <w:r w:rsidRPr="004A2923">
              <w:t>63.626.917,20</w:t>
            </w:r>
          </w:p>
        </w:tc>
        <w:tc>
          <w:tcPr>
            <w:tcW w:w="1560" w:type="dxa"/>
            <w:noWrap/>
            <w:hideMark/>
          </w:tcPr>
          <w:p w14:paraId="6D35E253" w14:textId="77777777" w:rsidR="009B683B" w:rsidRPr="004A2923" w:rsidRDefault="009B683B" w:rsidP="008C774E">
            <w:pPr>
              <w:jc w:val="center"/>
            </w:pPr>
            <w:r w:rsidRPr="004A2923">
              <w:t>139,60</w:t>
            </w:r>
          </w:p>
        </w:tc>
      </w:tr>
    </w:tbl>
    <w:p w14:paraId="5DE18516" w14:textId="77777777" w:rsidR="008C774E" w:rsidRDefault="008C774E" w:rsidP="00BA0AAC">
      <w:pPr>
        <w:jc w:val="both"/>
      </w:pPr>
    </w:p>
    <w:p w14:paraId="2FBB7376" w14:textId="77777777" w:rsidR="008C774E" w:rsidRPr="004A2923" w:rsidRDefault="008C774E" w:rsidP="008C774E">
      <w:pPr>
        <w:jc w:val="both"/>
      </w:pPr>
      <w:r w:rsidRPr="004A2923">
        <w:t xml:space="preserve">Ukupni prihodi u 2022. godini su ostvareni u iznosu od 134.417.218,30 kn, odnosno za </w:t>
      </w:r>
      <w:r>
        <w:t>32</w:t>
      </w:r>
      <w:r w:rsidR="00B859F8">
        <w:t xml:space="preserve"> %</w:t>
      </w:r>
      <w:r w:rsidRPr="004A2923">
        <w:t xml:space="preserve"> v</w:t>
      </w:r>
      <w:r>
        <w:t xml:space="preserve">iše </w:t>
      </w:r>
      <w:r w:rsidRPr="004A2923">
        <w:t>od prethodne godine.</w:t>
      </w:r>
    </w:p>
    <w:p w14:paraId="454940DF" w14:textId="77777777" w:rsidR="00641D77" w:rsidRPr="004A2923" w:rsidRDefault="007114B6" w:rsidP="00BA0AAC">
      <w:pPr>
        <w:jc w:val="both"/>
      </w:pPr>
      <w:r w:rsidRPr="004A2923">
        <w:t xml:space="preserve">Pomoći iz inozemstva i od subjekata unutar općeg proračuna su u </w:t>
      </w:r>
      <w:r w:rsidR="006255E0" w:rsidRPr="004A2923">
        <w:t>202</w:t>
      </w:r>
      <w:r w:rsidR="004D71AA" w:rsidRPr="004A2923">
        <w:t>2</w:t>
      </w:r>
      <w:r w:rsidR="00F11853" w:rsidRPr="004A2923">
        <w:t>.</w:t>
      </w:r>
      <w:r w:rsidR="006255E0" w:rsidRPr="004A2923">
        <w:t xml:space="preserve"> </w:t>
      </w:r>
      <w:r w:rsidRPr="004A2923">
        <w:t xml:space="preserve">godini </w:t>
      </w:r>
      <w:r w:rsidR="00F11853" w:rsidRPr="004A2923">
        <w:t>veći od prethodne godine</w:t>
      </w:r>
      <w:r w:rsidR="00BA0AAC">
        <w:t xml:space="preserve"> gotovo 40</w:t>
      </w:r>
      <w:r w:rsidR="00B859F8">
        <w:t xml:space="preserve"> %</w:t>
      </w:r>
      <w:r w:rsidR="00BA0AAC">
        <w:t>.</w:t>
      </w:r>
      <w:r w:rsidRPr="004A2923">
        <w:t>,</w:t>
      </w:r>
      <w:r w:rsidR="00BA0AAC">
        <w:t xml:space="preserve"> najvećim djelom radi kapitalnih pomoći po EU projektu kojih nije bilo tijekom 2021. godine ali i zbog podmirenja obveze </w:t>
      </w:r>
      <w:r w:rsidR="00F11853" w:rsidRPr="004A2923">
        <w:t xml:space="preserve">Grada Zagreba </w:t>
      </w:r>
      <w:r w:rsidR="00BA0AAC">
        <w:t>za</w:t>
      </w:r>
      <w:r w:rsidR="00F11853" w:rsidRPr="004A2923">
        <w:t xml:space="preserve"> 2021.</w:t>
      </w:r>
      <w:r w:rsidRPr="004A2923">
        <w:t xml:space="preserve"> </w:t>
      </w:r>
      <w:r w:rsidR="00F11853" w:rsidRPr="004A2923">
        <w:t xml:space="preserve">u iznosu od </w:t>
      </w:r>
      <w:r w:rsidR="00641D77" w:rsidRPr="004A2923">
        <w:t>4.616.673</w:t>
      </w:r>
      <w:r w:rsidR="00BA0AAC">
        <w:t>,00</w:t>
      </w:r>
      <w:r w:rsidR="00641D77" w:rsidRPr="004A2923">
        <w:t xml:space="preserve"> </w:t>
      </w:r>
      <w:r w:rsidR="00446AD2" w:rsidRPr="004A2923">
        <w:t>kn (</w:t>
      </w:r>
      <w:r w:rsidR="00641D77" w:rsidRPr="004A2923">
        <w:t xml:space="preserve">za  </w:t>
      </w:r>
      <w:r w:rsidR="00641D77" w:rsidRPr="004A2923">
        <w:lastRenderedPageBreak/>
        <w:t>materijalne rashode 1.689.053,</w:t>
      </w:r>
      <w:r w:rsidR="00BA0AAC">
        <w:t>00 kn,</w:t>
      </w:r>
      <w:r w:rsidR="00641D77" w:rsidRPr="004A2923">
        <w:t xml:space="preserve"> za program  2.724.839</w:t>
      </w:r>
      <w:r w:rsidR="00BA0AAC">
        <w:t>,00 kn</w:t>
      </w:r>
      <w:r w:rsidR="00641D77" w:rsidRPr="004A2923">
        <w:t xml:space="preserve"> i za naknade za zaposle</w:t>
      </w:r>
      <w:r w:rsidR="00BA0AAC">
        <w:t>ne</w:t>
      </w:r>
      <w:r w:rsidR="00641D77" w:rsidRPr="004A2923">
        <w:t xml:space="preserve"> 202.782</w:t>
      </w:r>
      <w:r w:rsidR="00BA0AAC">
        <w:t>,00</w:t>
      </w:r>
      <w:r w:rsidR="00641D77" w:rsidRPr="004A2923">
        <w:t xml:space="preserve"> kn</w:t>
      </w:r>
      <w:r w:rsidR="00446AD2" w:rsidRPr="004A2923">
        <w:t xml:space="preserve">). </w:t>
      </w:r>
      <w:r w:rsidR="00641D77" w:rsidRPr="004A2923">
        <w:t xml:space="preserve"> </w:t>
      </w:r>
    </w:p>
    <w:p w14:paraId="264A7E09" w14:textId="77777777" w:rsidR="00270252" w:rsidRPr="004A2923" w:rsidRDefault="00270252" w:rsidP="00270252">
      <w:pPr>
        <w:rPr>
          <w:b/>
          <w:bCs/>
        </w:rPr>
      </w:pPr>
      <w:r w:rsidRPr="004A2923">
        <w:rPr>
          <w:b/>
          <w:bCs/>
        </w:rPr>
        <w:t>Bilješka br. 3</w:t>
      </w:r>
      <w:r w:rsidR="000B37E0">
        <w:rPr>
          <w:b/>
          <w:bCs/>
        </w:rPr>
        <w:t>.</w:t>
      </w:r>
      <w:r w:rsidRPr="004A2923">
        <w:rPr>
          <w:b/>
          <w:bCs/>
        </w:rPr>
        <w:t xml:space="preserve">  Prihodi od imovine </w:t>
      </w:r>
      <w:r w:rsidR="008C774E">
        <w:rPr>
          <w:b/>
          <w:bCs/>
        </w:rPr>
        <w:t>(u kn)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020"/>
        <w:gridCol w:w="3653"/>
        <w:gridCol w:w="1418"/>
        <w:gridCol w:w="1559"/>
        <w:gridCol w:w="1417"/>
      </w:tblGrid>
      <w:tr w:rsidR="009B683B" w:rsidRPr="004A2923" w14:paraId="257CC13C" w14:textId="77777777" w:rsidTr="009B683B">
        <w:trPr>
          <w:trHeight w:val="465"/>
        </w:trPr>
        <w:tc>
          <w:tcPr>
            <w:tcW w:w="1020" w:type="dxa"/>
            <w:hideMark/>
          </w:tcPr>
          <w:p w14:paraId="12D1DCA4" w14:textId="77777777" w:rsidR="009B683B" w:rsidRPr="004A2923" w:rsidRDefault="009B683B" w:rsidP="008C774E">
            <w:pPr>
              <w:jc w:val="center"/>
            </w:pPr>
            <w:bookmarkStart w:id="0" w:name="_Hlk62647003"/>
            <w:bookmarkStart w:id="1" w:name="_Hlk62647020"/>
            <w:r w:rsidRPr="004A2923">
              <w:t>RAZRED</w:t>
            </w:r>
          </w:p>
        </w:tc>
        <w:tc>
          <w:tcPr>
            <w:tcW w:w="3653" w:type="dxa"/>
            <w:hideMark/>
          </w:tcPr>
          <w:p w14:paraId="180A29FE" w14:textId="77777777" w:rsidR="009B683B" w:rsidRPr="004A2923" w:rsidRDefault="009B683B" w:rsidP="008C774E">
            <w:pPr>
              <w:jc w:val="center"/>
            </w:pPr>
            <w:r w:rsidRPr="004A2923">
              <w:t>NAZIV</w:t>
            </w:r>
          </w:p>
        </w:tc>
        <w:tc>
          <w:tcPr>
            <w:tcW w:w="1418" w:type="dxa"/>
            <w:noWrap/>
            <w:hideMark/>
          </w:tcPr>
          <w:p w14:paraId="58F9A168" w14:textId="77777777" w:rsidR="009B683B" w:rsidRPr="004A2923" w:rsidRDefault="009B683B" w:rsidP="008C774E">
            <w:pPr>
              <w:jc w:val="center"/>
            </w:pPr>
            <w:r w:rsidRPr="004A2923">
              <w:t>2021</w:t>
            </w:r>
          </w:p>
        </w:tc>
        <w:tc>
          <w:tcPr>
            <w:tcW w:w="1559" w:type="dxa"/>
            <w:noWrap/>
            <w:hideMark/>
          </w:tcPr>
          <w:p w14:paraId="7BB1EC18" w14:textId="77777777" w:rsidR="009B683B" w:rsidRPr="004A2923" w:rsidRDefault="009B683B" w:rsidP="008C774E">
            <w:pPr>
              <w:jc w:val="center"/>
            </w:pPr>
            <w:r w:rsidRPr="004A2923">
              <w:t>2022</w:t>
            </w:r>
          </w:p>
          <w:p w14:paraId="73BB4256" w14:textId="77777777" w:rsidR="009B683B" w:rsidRPr="004A2923" w:rsidRDefault="009B683B" w:rsidP="008C774E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71ECD38D" w14:textId="77777777" w:rsidR="009B683B" w:rsidRPr="004A2923" w:rsidRDefault="009B683B" w:rsidP="008C774E">
            <w:pPr>
              <w:jc w:val="center"/>
            </w:pPr>
            <w:r w:rsidRPr="004A2923">
              <w:t>INDEKS</w:t>
            </w:r>
          </w:p>
        </w:tc>
      </w:tr>
      <w:tr w:rsidR="009B683B" w:rsidRPr="004A2923" w14:paraId="551A5F0B" w14:textId="77777777" w:rsidTr="009B683B">
        <w:trPr>
          <w:trHeight w:val="415"/>
        </w:trPr>
        <w:tc>
          <w:tcPr>
            <w:tcW w:w="1020" w:type="dxa"/>
            <w:noWrap/>
            <w:hideMark/>
          </w:tcPr>
          <w:p w14:paraId="3E0DDBC3" w14:textId="77777777" w:rsidR="009B683B" w:rsidRPr="004A2923" w:rsidRDefault="009B683B" w:rsidP="0072372F">
            <w:r w:rsidRPr="004A2923">
              <w:t>64</w:t>
            </w:r>
          </w:p>
        </w:tc>
        <w:tc>
          <w:tcPr>
            <w:tcW w:w="3653" w:type="dxa"/>
            <w:hideMark/>
          </w:tcPr>
          <w:p w14:paraId="34B48DD3" w14:textId="77777777" w:rsidR="009B683B" w:rsidRPr="004A2923" w:rsidRDefault="009B683B">
            <w:r w:rsidRPr="004A2923">
              <w:t xml:space="preserve">Prihodi od imovine </w:t>
            </w:r>
          </w:p>
        </w:tc>
        <w:tc>
          <w:tcPr>
            <w:tcW w:w="1418" w:type="dxa"/>
            <w:noWrap/>
            <w:hideMark/>
          </w:tcPr>
          <w:p w14:paraId="0DB1A428" w14:textId="77777777" w:rsidR="009B683B" w:rsidRPr="004A2923" w:rsidRDefault="009B683B" w:rsidP="008C774E">
            <w:pPr>
              <w:jc w:val="right"/>
            </w:pPr>
            <w:r w:rsidRPr="004A2923">
              <w:t>364.687</w:t>
            </w:r>
            <w:r>
              <w:t>,00</w:t>
            </w:r>
          </w:p>
        </w:tc>
        <w:tc>
          <w:tcPr>
            <w:tcW w:w="1559" w:type="dxa"/>
            <w:noWrap/>
            <w:hideMark/>
          </w:tcPr>
          <w:p w14:paraId="72F35776" w14:textId="77777777" w:rsidR="009B683B" w:rsidRPr="004A2923" w:rsidRDefault="009B683B" w:rsidP="008C774E">
            <w:pPr>
              <w:jc w:val="right"/>
            </w:pPr>
            <w:r w:rsidRPr="004A2923">
              <w:t>510.534,87</w:t>
            </w:r>
          </w:p>
        </w:tc>
        <w:tc>
          <w:tcPr>
            <w:tcW w:w="1417" w:type="dxa"/>
            <w:noWrap/>
            <w:hideMark/>
          </w:tcPr>
          <w:p w14:paraId="7C6F4E43" w14:textId="77777777" w:rsidR="009B683B" w:rsidRPr="004A2923" w:rsidRDefault="009B683B" w:rsidP="008C774E">
            <w:pPr>
              <w:jc w:val="center"/>
            </w:pPr>
            <w:r w:rsidRPr="004A2923">
              <w:t>140,0</w:t>
            </w:r>
          </w:p>
        </w:tc>
      </w:tr>
      <w:tr w:rsidR="009B683B" w:rsidRPr="004A2923" w14:paraId="076E460C" w14:textId="77777777" w:rsidTr="009B683B">
        <w:trPr>
          <w:trHeight w:val="563"/>
        </w:trPr>
        <w:tc>
          <w:tcPr>
            <w:tcW w:w="1020" w:type="dxa"/>
            <w:noWrap/>
          </w:tcPr>
          <w:p w14:paraId="6FBD08D4" w14:textId="77777777" w:rsidR="009B683B" w:rsidRPr="004A2923" w:rsidRDefault="009B683B" w:rsidP="00E15E63">
            <w:r w:rsidRPr="004A2923">
              <w:t>641</w:t>
            </w:r>
          </w:p>
        </w:tc>
        <w:tc>
          <w:tcPr>
            <w:tcW w:w="3653" w:type="dxa"/>
          </w:tcPr>
          <w:p w14:paraId="42089311" w14:textId="77777777" w:rsidR="009B683B" w:rsidRPr="004A2923" w:rsidRDefault="009B683B" w:rsidP="00E15E63">
            <w:r w:rsidRPr="004A2923">
              <w:t xml:space="preserve">Prihodi od financijske imovine </w:t>
            </w:r>
          </w:p>
        </w:tc>
        <w:tc>
          <w:tcPr>
            <w:tcW w:w="1418" w:type="dxa"/>
            <w:noWrap/>
          </w:tcPr>
          <w:p w14:paraId="5DFEDC4C" w14:textId="77777777" w:rsidR="009B683B" w:rsidRPr="004A2923" w:rsidRDefault="009B683B" w:rsidP="008C774E">
            <w:pPr>
              <w:jc w:val="right"/>
            </w:pPr>
            <w:r w:rsidRPr="004A2923">
              <w:t>2.203</w:t>
            </w:r>
            <w:r>
              <w:t>,00</w:t>
            </w:r>
          </w:p>
        </w:tc>
        <w:tc>
          <w:tcPr>
            <w:tcW w:w="1559" w:type="dxa"/>
            <w:noWrap/>
          </w:tcPr>
          <w:p w14:paraId="155649BF" w14:textId="77777777" w:rsidR="009B683B" w:rsidRPr="004A2923" w:rsidRDefault="009B683B" w:rsidP="008C774E">
            <w:pPr>
              <w:jc w:val="right"/>
            </w:pPr>
            <w:r w:rsidRPr="004A2923">
              <w:t>2.185,39</w:t>
            </w:r>
          </w:p>
        </w:tc>
        <w:tc>
          <w:tcPr>
            <w:tcW w:w="1417" w:type="dxa"/>
            <w:noWrap/>
          </w:tcPr>
          <w:p w14:paraId="2A57DAB6" w14:textId="77777777" w:rsidR="009B683B" w:rsidRPr="004A2923" w:rsidRDefault="009B683B" w:rsidP="008C774E">
            <w:pPr>
              <w:jc w:val="center"/>
            </w:pPr>
            <w:r w:rsidRPr="004A2923">
              <w:t>99,2</w:t>
            </w:r>
          </w:p>
        </w:tc>
      </w:tr>
      <w:bookmarkEnd w:id="0"/>
      <w:tr w:rsidR="009B683B" w:rsidRPr="004A2923" w14:paraId="6695C09C" w14:textId="77777777" w:rsidTr="009B683B">
        <w:trPr>
          <w:trHeight w:val="416"/>
        </w:trPr>
        <w:tc>
          <w:tcPr>
            <w:tcW w:w="1020" w:type="dxa"/>
            <w:noWrap/>
            <w:hideMark/>
          </w:tcPr>
          <w:p w14:paraId="2C81EA3D" w14:textId="77777777" w:rsidR="009B683B" w:rsidRPr="004A2923" w:rsidRDefault="009B683B" w:rsidP="00E15E63">
            <w:r w:rsidRPr="004A2923">
              <w:t>642</w:t>
            </w:r>
          </w:p>
        </w:tc>
        <w:tc>
          <w:tcPr>
            <w:tcW w:w="3653" w:type="dxa"/>
            <w:hideMark/>
          </w:tcPr>
          <w:p w14:paraId="0F0402A0" w14:textId="77777777" w:rsidR="009B683B" w:rsidRPr="004A2923" w:rsidRDefault="009B683B" w:rsidP="00E15E63">
            <w:r w:rsidRPr="004A2923">
              <w:t xml:space="preserve">Prihodi od nefinancijske imovine   </w:t>
            </w:r>
          </w:p>
        </w:tc>
        <w:tc>
          <w:tcPr>
            <w:tcW w:w="1418" w:type="dxa"/>
            <w:noWrap/>
            <w:hideMark/>
          </w:tcPr>
          <w:p w14:paraId="27E56D26" w14:textId="77777777" w:rsidR="009B683B" w:rsidRPr="004A2923" w:rsidRDefault="009B683B" w:rsidP="008C774E">
            <w:pPr>
              <w:jc w:val="right"/>
            </w:pPr>
            <w:r w:rsidRPr="004A2923">
              <w:t>362.484</w:t>
            </w:r>
            <w:r>
              <w:t>,00</w:t>
            </w:r>
          </w:p>
        </w:tc>
        <w:tc>
          <w:tcPr>
            <w:tcW w:w="1559" w:type="dxa"/>
            <w:noWrap/>
          </w:tcPr>
          <w:p w14:paraId="2799070D" w14:textId="77777777" w:rsidR="009B683B" w:rsidRPr="004A2923" w:rsidRDefault="009B683B" w:rsidP="008C774E">
            <w:pPr>
              <w:jc w:val="right"/>
            </w:pPr>
            <w:r w:rsidRPr="004A2923">
              <w:t>508.349,48</w:t>
            </w:r>
          </w:p>
        </w:tc>
        <w:tc>
          <w:tcPr>
            <w:tcW w:w="1417" w:type="dxa"/>
            <w:noWrap/>
            <w:hideMark/>
          </w:tcPr>
          <w:p w14:paraId="34B032B3" w14:textId="77777777" w:rsidR="009B683B" w:rsidRPr="004A2923" w:rsidRDefault="009B683B" w:rsidP="008C774E">
            <w:pPr>
              <w:jc w:val="center"/>
            </w:pPr>
            <w:r w:rsidRPr="004A2923">
              <w:t>140,20</w:t>
            </w:r>
          </w:p>
        </w:tc>
      </w:tr>
    </w:tbl>
    <w:p w14:paraId="1A0B1ABC" w14:textId="77777777" w:rsidR="0072372F" w:rsidRPr="004A2923" w:rsidRDefault="0072372F"/>
    <w:bookmarkEnd w:id="1"/>
    <w:p w14:paraId="370D4DA7" w14:textId="77777777" w:rsidR="00CE1B2B" w:rsidRPr="004A2923" w:rsidRDefault="0072372F" w:rsidP="0073386A">
      <w:r w:rsidRPr="004A2923">
        <w:t xml:space="preserve">Prihodi </w:t>
      </w:r>
      <w:r w:rsidR="00C57634" w:rsidRPr="004A2923">
        <w:t>od imovine</w:t>
      </w:r>
      <w:r w:rsidR="00AD3EB8" w:rsidRPr="004A2923">
        <w:t xml:space="preserve"> (</w:t>
      </w:r>
      <w:r w:rsidR="007271EC" w:rsidRPr="004A2923">
        <w:t>64</w:t>
      </w:r>
      <w:r w:rsidR="00AD3EB8" w:rsidRPr="004A2923">
        <w:t>)</w:t>
      </w:r>
      <w:r w:rsidR="00C57634" w:rsidRPr="004A2923">
        <w:t xml:space="preserve"> su </w:t>
      </w:r>
      <w:r w:rsidR="0073386A" w:rsidRPr="004A2923">
        <w:t xml:space="preserve">uvećani </w:t>
      </w:r>
      <w:r w:rsidR="00C57634" w:rsidRPr="004A2923">
        <w:t xml:space="preserve"> za </w:t>
      </w:r>
      <w:r w:rsidR="007271EC" w:rsidRPr="004A2923">
        <w:t>40</w:t>
      </w:r>
      <w:r w:rsidR="0073386A" w:rsidRPr="004A2923">
        <w:t xml:space="preserve"> </w:t>
      </w:r>
      <w:r w:rsidR="00B859F8">
        <w:t xml:space="preserve"> %</w:t>
      </w:r>
      <w:r w:rsidR="00C57634" w:rsidRPr="004A2923">
        <w:t xml:space="preserve"> u 202</w:t>
      </w:r>
      <w:r w:rsidR="007271EC" w:rsidRPr="004A2923">
        <w:t>2</w:t>
      </w:r>
      <w:r w:rsidR="00C57634" w:rsidRPr="004A2923">
        <w:t xml:space="preserve">. godini u odnosu na </w:t>
      </w:r>
      <w:r w:rsidR="0073386A" w:rsidRPr="004A2923">
        <w:t>202</w:t>
      </w:r>
      <w:r w:rsidR="007271EC" w:rsidRPr="004A2923">
        <w:t>1</w:t>
      </w:r>
      <w:r w:rsidR="00CE1B2B" w:rsidRPr="004A2923">
        <w:t>.</w:t>
      </w:r>
    </w:p>
    <w:p w14:paraId="1468D1B8" w14:textId="77777777" w:rsidR="00CE1B2B" w:rsidRDefault="00CE1B2B" w:rsidP="008C774E">
      <w:pPr>
        <w:jc w:val="both"/>
      </w:pPr>
      <w:r w:rsidRPr="004A2923">
        <w:t>Prihodi od financijske imovine (</w:t>
      </w:r>
      <w:r w:rsidR="007271EC" w:rsidRPr="004A2923">
        <w:t>641</w:t>
      </w:r>
      <w:r w:rsidRPr="004A2923">
        <w:t xml:space="preserve">) </w:t>
      </w:r>
      <w:r w:rsidR="008C774E">
        <w:t xml:space="preserve">manji su od prihoda ostvarenih tijekom 2021. godine, na što su najviše utjecale </w:t>
      </w:r>
      <w:r w:rsidR="007271EC" w:rsidRPr="004A2923">
        <w:t>tečajn</w:t>
      </w:r>
      <w:r w:rsidR="008C774E">
        <w:t>e</w:t>
      </w:r>
      <w:r w:rsidR="007271EC" w:rsidRPr="004A2923">
        <w:t xml:space="preserve"> razlik</w:t>
      </w:r>
      <w:r w:rsidR="008C774E">
        <w:t>e</w:t>
      </w:r>
      <w:r w:rsidR="007271EC" w:rsidRPr="004A2923">
        <w:t xml:space="preserve">. </w:t>
      </w:r>
      <w:r w:rsidRPr="004A2923">
        <w:t xml:space="preserve">Prihodi od </w:t>
      </w:r>
      <w:r w:rsidR="007271EC" w:rsidRPr="004A2923">
        <w:t>zakupa i iznajmljivanja imovine (642)</w:t>
      </w:r>
      <w:r w:rsidRPr="004A2923">
        <w:t xml:space="preserve"> su u 202</w:t>
      </w:r>
      <w:r w:rsidR="007271EC" w:rsidRPr="004A2923">
        <w:t>2</w:t>
      </w:r>
      <w:r w:rsidRPr="004A2923">
        <w:t xml:space="preserve">. godini veći za </w:t>
      </w:r>
      <w:r w:rsidR="008C774E">
        <w:t>40</w:t>
      </w:r>
      <w:r w:rsidRPr="004A2923">
        <w:t xml:space="preserve"> </w:t>
      </w:r>
      <w:r w:rsidR="00B859F8">
        <w:t xml:space="preserve"> %</w:t>
      </w:r>
      <w:r w:rsidRPr="004A2923">
        <w:t xml:space="preserve"> </w:t>
      </w:r>
      <w:r w:rsidR="008C774E">
        <w:t xml:space="preserve">što je rezultat ukidanja mjera izazvanih COVID-19 krizom. </w:t>
      </w:r>
    </w:p>
    <w:p w14:paraId="14422F5A" w14:textId="77777777" w:rsidR="00CF12B0" w:rsidRPr="004A2923" w:rsidRDefault="00CF12B0" w:rsidP="008C774E">
      <w:pPr>
        <w:jc w:val="both"/>
      </w:pPr>
    </w:p>
    <w:p w14:paraId="4A1F4951" w14:textId="77777777" w:rsidR="00AD3EB8" w:rsidRPr="004A2923" w:rsidRDefault="008C7F6D" w:rsidP="0073386A">
      <w:pPr>
        <w:rPr>
          <w:b/>
          <w:bCs/>
        </w:rPr>
      </w:pPr>
      <w:r w:rsidRPr="004A2923">
        <w:rPr>
          <w:b/>
          <w:bCs/>
        </w:rPr>
        <w:t xml:space="preserve">Bilješka br. </w:t>
      </w:r>
      <w:r w:rsidR="00D8349B" w:rsidRPr="004A2923">
        <w:rPr>
          <w:b/>
          <w:bCs/>
        </w:rPr>
        <w:t>4</w:t>
      </w:r>
      <w:r w:rsidR="000B37E0">
        <w:rPr>
          <w:b/>
          <w:bCs/>
        </w:rPr>
        <w:t>.</w:t>
      </w:r>
      <w:r w:rsidRPr="004A2923">
        <w:rPr>
          <w:b/>
          <w:bCs/>
        </w:rPr>
        <w:t xml:space="preserve">  Prihodi od upravnih i administrativnih pristojbi</w:t>
      </w:r>
      <w:r w:rsidR="00D8349B" w:rsidRPr="004A2923">
        <w:rPr>
          <w:b/>
          <w:bCs/>
        </w:rPr>
        <w:t xml:space="preserve">, pristojbi po posebnim propisima </w:t>
      </w:r>
      <w:r w:rsidR="008C774E">
        <w:rPr>
          <w:b/>
          <w:bCs/>
        </w:rPr>
        <w:t>(u kn)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020"/>
        <w:gridCol w:w="3653"/>
        <w:gridCol w:w="1418"/>
        <w:gridCol w:w="1559"/>
        <w:gridCol w:w="1417"/>
      </w:tblGrid>
      <w:tr w:rsidR="009B683B" w:rsidRPr="004A2923" w14:paraId="31F5E436" w14:textId="77777777" w:rsidTr="009B683B">
        <w:trPr>
          <w:trHeight w:val="403"/>
        </w:trPr>
        <w:tc>
          <w:tcPr>
            <w:tcW w:w="1020" w:type="dxa"/>
            <w:hideMark/>
          </w:tcPr>
          <w:p w14:paraId="2D4C760E" w14:textId="77777777" w:rsidR="009B683B" w:rsidRPr="004A2923" w:rsidRDefault="009B683B" w:rsidP="00A32C47">
            <w:pPr>
              <w:jc w:val="center"/>
            </w:pPr>
            <w:r w:rsidRPr="004A2923">
              <w:t>RAZRED</w:t>
            </w:r>
          </w:p>
        </w:tc>
        <w:tc>
          <w:tcPr>
            <w:tcW w:w="3653" w:type="dxa"/>
            <w:hideMark/>
          </w:tcPr>
          <w:p w14:paraId="6959B174" w14:textId="77777777" w:rsidR="009B683B" w:rsidRPr="004A2923" w:rsidRDefault="009B683B" w:rsidP="00A32C47">
            <w:pPr>
              <w:jc w:val="center"/>
            </w:pPr>
            <w:r w:rsidRPr="004A2923">
              <w:t>NAZIV</w:t>
            </w:r>
          </w:p>
        </w:tc>
        <w:tc>
          <w:tcPr>
            <w:tcW w:w="1418" w:type="dxa"/>
            <w:noWrap/>
            <w:hideMark/>
          </w:tcPr>
          <w:p w14:paraId="30F99C16" w14:textId="77777777" w:rsidR="009B683B" w:rsidRPr="004A2923" w:rsidRDefault="009B683B" w:rsidP="00A32C47">
            <w:pPr>
              <w:jc w:val="center"/>
            </w:pPr>
            <w:r w:rsidRPr="004A2923">
              <w:t>2021</w:t>
            </w:r>
          </w:p>
        </w:tc>
        <w:tc>
          <w:tcPr>
            <w:tcW w:w="1559" w:type="dxa"/>
            <w:noWrap/>
            <w:hideMark/>
          </w:tcPr>
          <w:p w14:paraId="72E5D5E0" w14:textId="77777777" w:rsidR="009B683B" w:rsidRPr="004A2923" w:rsidRDefault="009B683B" w:rsidP="00A32C47">
            <w:pPr>
              <w:jc w:val="center"/>
            </w:pPr>
            <w:r w:rsidRPr="004A2923">
              <w:t>2022</w:t>
            </w:r>
          </w:p>
        </w:tc>
        <w:tc>
          <w:tcPr>
            <w:tcW w:w="1417" w:type="dxa"/>
            <w:noWrap/>
            <w:hideMark/>
          </w:tcPr>
          <w:p w14:paraId="764AE310" w14:textId="77777777" w:rsidR="009B683B" w:rsidRPr="004A2923" w:rsidRDefault="009B683B" w:rsidP="00A32C47">
            <w:pPr>
              <w:jc w:val="center"/>
            </w:pPr>
            <w:r w:rsidRPr="004A2923">
              <w:t>INDEKS</w:t>
            </w:r>
          </w:p>
        </w:tc>
      </w:tr>
      <w:tr w:rsidR="009B683B" w:rsidRPr="004A2923" w14:paraId="43AB2F5F" w14:textId="77777777" w:rsidTr="009B683B">
        <w:trPr>
          <w:trHeight w:val="693"/>
        </w:trPr>
        <w:tc>
          <w:tcPr>
            <w:tcW w:w="1020" w:type="dxa"/>
            <w:noWrap/>
            <w:hideMark/>
          </w:tcPr>
          <w:p w14:paraId="4140A7C9" w14:textId="77777777" w:rsidR="009B683B" w:rsidRPr="004A2923" w:rsidRDefault="009B683B" w:rsidP="00CB31F3">
            <w:r w:rsidRPr="004A2923">
              <w:t>65</w:t>
            </w:r>
          </w:p>
        </w:tc>
        <w:tc>
          <w:tcPr>
            <w:tcW w:w="3653" w:type="dxa"/>
            <w:hideMark/>
          </w:tcPr>
          <w:p w14:paraId="68719E63" w14:textId="77777777" w:rsidR="009B683B" w:rsidRPr="004A2923" w:rsidRDefault="009B683B" w:rsidP="00CB31F3">
            <w:r w:rsidRPr="004A2923">
              <w:t xml:space="preserve">Prihodi od upravnih i administrativnih pristojbi  </w:t>
            </w:r>
          </w:p>
        </w:tc>
        <w:tc>
          <w:tcPr>
            <w:tcW w:w="1418" w:type="dxa"/>
            <w:noWrap/>
            <w:hideMark/>
          </w:tcPr>
          <w:p w14:paraId="69D62A08" w14:textId="77777777" w:rsidR="009B683B" w:rsidRPr="004A2923" w:rsidRDefault="009B683B" w:rsidP="008C774E">
            <w:pPr>
              <w:jc w:val="right"/>
            </w:pPr>
            <w:r w:rsidRPr="004A2923">
              <w:t>6.640.530,00</w:t>
            </w:r>
          </w:p>
        </w:tc>
        <w:tc>
          <w:tcPr>
            <w:tcW w:w="1559" w:type="dxa"/>
            <w:noWrap/>
            <w:hideMark/>
          </w:tcPr>
          <w:p w14:paraId="58176E97" w14:textId="77777777" w:rsidR="009B683B" w:rsidRPr="004A2923" w:rsidRDefault="009B683B" w:rsidP="008C774E">
            <w:pPr>
              <w:jc w:val="right"/>
            </w:pPr>
            <w:r w:rsidRPr="004A2923">
              <w:t>11.573.545,24</w:t>
            </w:r>
          </w:p>
        </w:tc>
        <w:tc>
          <w:tcPr>
            <w:tcW w:w="1417" w:type="dxa"/>
            <w:noWrap/>
            <w:hideMark/>
          </w:tcPr>
          <w:p w14:paraId="15FA7019" w14:textId="77777777" w:rsidR="009B683B" w:rsidRPr="004A2923" w:rsidRDefault="009B683B" w:rsidP="008C774E">
            <w:pPr>
              <w:jc w:val="center"/>
            </w:pPr>
            <w:r w:rsidRPr="004A2923">
              <w:t>249,40</w:t>
            </w:r>
          </w:p>
        </w:tc>
      </w:tr>
    </w:tbl>
    <w:p w14:paraId="19452382" w14:textId="77777777" w:rsidR="000E4961" w:rsidRPr="004A2923" w:rsidRDefault="000E4961" w:rsidP="000E4961"/>
    <w:p w14:paraId="0C6FFD75" w14:textId="77777777" w:rsidR="00153D95" w:rsidRDefault="00153D95" w:rsidP="00A32C47">
      <w:pPr>
        <w:jc w:val="both"/>
      </w:pPr>
      <w:r w:rsidRPr="004A2923">
        <w:t>Prihodi po posebnim propisima</w:t>
      </w:r>
      <w:r w:rsidR="008C774E">
        <w:t xml:space="preserve"> (ulaznice)</w:t>
      </w:r>
      <w:r w:rsidRPr="004A2923">
        <w:t xml:space="preserve"> </w:t>
      </w:r>
      <w:r w:rsidR="008C774E">
        <w:t>uvećani su u odnosu na isto razdoblje prošle godine, najvećim dijelom kao rezultat ukidanja mjera izazvanih COVID-19 krizom</w:t>
      </w:r>
      <w:r w:rsidRPr="004A2923">
        <w:t xml:space="preserve"> prošlu godinu. </w:t>
      </w:r>
      <w:r w:rsidR="00A32C47">
        <w:t xml:space="preserve">Upravo radi </w:t>
      </w:r>
      <w:r w:rsidR="00A32C47" w:rsidRPr="004A2923">
        <w:t xml:space="preserve"> atraktivnog repertoara tijekom cijele</w:t>
      </w:r>
      <w:r w:rsidR="00A32C47">
        <w:t xml:space="preserve"> 2022.</w:t>
      </w:r>
      <w:r w:rsidR="00A32C47" w:rsidRPr="004A2923">
        <w:t xml:space="preserve"> godine</w:t>
      </w:r>
      <w:r w:rsidR="00A32C47">
        <w:t xml:space="preserve">, </w:t>
      </w:r>
      <w:r w:rsidR="00A32C47" w:rsidRPr="004A2923">
        <w:t>gledalište je bilo popunjeno</w:t>
      </w:r>
      <w:r w:rsidR="00A32C47">
        <w:t xml:space="preserve">, a u </w:t>
      </w:r>
      <w:r w:rsidRPr="004A2923">
        <w:t xml:space="preserve">nastavku </w:t>
      </w:r>
      <w:r w:rsidR="00A32C47">
        <w:t xml:space="preserve">je </w:t>
      </w:r>
      <w:r w:rsidRPr="004A2923">
        <w:t>razrada prihoda po posebnim propisima: prihodi od gostovanja 339.861,66</w:t>
      </w:r>
      <w:r w:rsidR="008C774E">
        <w:t xml:space="preserve"> </w:t>
      </w:r>
      <w:r w:rsidRPr="004A2923">
        <w:t>kn</w:t>
      </w:r>
      <w:r w:rsidR="00A32C47">
        <w:t xml:space="preserve">; </w:t>
      </w:r>
      <w:r w:rsidRPr="004A2923">
        <w:t>prihodi od ulaznica 11.161.951,06</w:t>
      </w:r>
      <w:r w:rsidR="008C774E">
        <w:t xml:space="preserve"> </w:t>
      </w:r>
      <w:r w:rsidRPr="004A2923">
        <w:t>kn</w:t>
      </w:r>
      <w:r w:rsidR="00A32C47">
        <w:t xml:space="preserve">; </w:t>
      </w:r>
      <w:r w:rsidRPr="004A2923">
        <w:t>prihodi od gostovanja u inozemstvu 31.197,52</w:t>
      </w:r>
      <w:r w:rsidR="008C774E">
        <w:t xml:space="preserve"> </w:t>
      </w:r>
      <w:r w:rsidRPr="004A2923">
        <w:t>kn</w:t>
      </w:r>
      <w:r w:rsidR="00A32C47">
        <w:t xml:space="preserve">; </w:t>
      </w:r>
      <w:r w:rsidRPr="004A2923">
        <w:t>prihodi od prodaje programskih knjižica 10.190,00</w:t>
      </w:r>
      <w:r w:rsidR="008C774E">
        <w:t xml:space="preserve"> </w:t>
      </w:r>
      <w:r w:rsidRPr="004A2923">
        <w:t>kn</w:t>
      </w:r>
      <w:r w:rsidR="00A32C47">
        <w:t xml:space="preserve"> i </w:t>
      </w:r>
      <w:r w:rsidRPr="004A2923">
        <w:t>prihodi od snimanja predstava 30.000,00</w:t>
      </w:r>
      <w:r w:rsidR="008C774E">
        <w:t xml:space="preserve"> </w:t>
      </w:r>
      <w:r w:rsidRPr="004A2923">
        <w:t>kn</w:t>
      </w:r>
    </w:p>
    <w:p w14:paraId="3F5B3311" w14:textId="77777777" w:rsidR="000E4961" w:rsidRPr="004A2923" w:rsidRDefault="000E2AF0" w:rsidP="00C57634">
      <w:pPr>
        <w:rPr>
          <w:b/>
          <w:bCs/>
        </w:rPr>
      </w:pPr>
      <w:r w:rsidRPr="004A2923">
        <w:rPr>
          <w:b/>
          <w:bCs/>
        </w:rPr>
        <w:t xml:space="preserve">Bilješka br. </w:t>
      </w:r>
      <w:r w:rsidR="00D8349B" w:rsidRPr="004A2923">
        <w:rPr>
          <w:b/>
          <w:bCs/>
        </w:rPr>
        <w:t>5</w:t>
      </w:r>
      <w:r w:rsidR="000B37E0">
        <w:rPr>
          <w:b/>
          <w:bCs/>
        </w:rPr>
        <w:t>.</w:t>
      </w:r>
      <w:r w:rsidRPr="004A2923">
        <w:rPr>
          <w:b/>
          <w:bCs/>
        </w:rPr>
        <w:t xml:space="preserve">  Prihodi od prodaje proizvoda i pruženih usluga </w:t>
      </w:r>
      <w:r w:rsidR="00A32C47">
        <w:rPr>
          <w:b/>
          <w:bCs/>
        </w:rPr>
        <w:t>(u kn)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28"/>
        <w:gridCol w:w="3745"/>
        <w:gridCol w:w="1418"/>
        <w:gridCol w:w="1559"/>
        <w:gridCol w:w="1417"/>
      </w:tblGrid>
      <w:tr w:rsidR="009B683B" w:rsidRPr="004A2923" w14:paraId="076C91AB" w14:textId="77777777" w:rsidTr="009B683B">
        <w:trPr>
          <w:trHeight w:val="587"/>
        </w:trPr>
        <w:tc>
          <w:tcPr>
            <w:tcW w:w="928" w:type="dxa"/>
            <w:hideMark/>
          </w:tcPr>
          <w:p w14:paraId="28C2EA8B" w14:textId="77777777" w:rsidR="009B683B" w:rsidRPr="004A2923" w:rsidRDefault="009B683B" w:rsidP="00A32C47">
            <w:pPr>
              <w:jc w:val="center"/>
            </w:pPr>
            <w:r w:rsidRPr="004A2923">
              <w:t>RAZRED</w:t>
            </w:r>
          </w:p>
        </w:tc>
        <w:tc>
          <w:tcPr>
            <w:tcW w:w="3745" w:type="dxa"/>
            <w:hideMark/>
          </w:tcPr>
          <w:p w14:paraId="58ACA864" w14:textId="77777777" w:rsidR="009B683B" w:rsidRPr="004A2923" w:rsidRDefault="009B683B" w:rsidP="00A32C47">
            <w:pPr>
              <w:jc w:val="center"/>
            </w:pPr>
            <w:r w:rsidRPr="004A2923">
              <w:t>NAZIV</w:t>
            </w:r>
          </w:p>
        </w:tc>
        <w:tc>
          <w:tcPr>
            <w:tcW w:w="1418" w:type="dxa"/>
            <w:noWrap/>
            <w:hideMark/>
          </w:tcPr>
          <w:p w14:paraId="72C4F29F" w14:textId="77777777" w:rsidR="009B683B" w:rsidRPr="004A2923" w:rsidRDefault="009B683B" w:rsidP="00A32C47">
            <w:pPr>
              <w:jc w:val="center"/>
            </w:pPr>
            <w:r w:rsidRPr="004A2923">
              <w:t>2021</w:t>
            </w:r>
          </w:p>
        </w:tc>
        <w:tc>
          <w:tcPr>
            <w:tcW w:w="1559" w:type="dxa"/>
            <w:noWrap/>
            <w:hideMark/>
          </w:tcPr>
          <w:p w14:paraId="089CA5FE" w14:textId="77777777" w:rsidR="009B683B" w:rsidRPr="004A2923" w:rsidRDefault="009B683B" w:rsidP="00A32C47">
            <w:pPr>
              <w:jc w:val="center"/>
            </w:pPr>
            <w:r w:rsidRPr="004A2923">
              <w:t>2022</w:t>
            </w:r>
          </w:p>
        </w:tc>
        <w:tc>
          <w:tcPr>
            <w:tcW w:w="1417" w:type="dxa"/>
            <w:noWrap/>
            <w:hideMark/>
          </w:tcPr>
          <w:p w14:paraId="7C98A7DC" w14:textId="77777777" w:rsidR="009B683B" w:rsidRPr="004A2923" w:rsidRDefault="009B683B" w:rsidP="00A32C47">
            <w:pPr>
              <w:jc w:val="center"/>
            </w:pPr>
            <w:r w:rsidRPr="004A2923">
              <w:t>INDEKS</w:t>
            </w:r>
          </w:p>
        </w:tc>
      </w:tr>
      <w:tr w:rsidR="009B683B" w:rsidRPr="004A2923" w14:paraId="7B1B3899" w14:textId="77777777" w:rsidTr="009B683B">
        <w:trPr>
          <w:trHeight w:val="695"/>
        </w:trPr>
        <w:tc>
          <w:tcPr>
            <w:tcW w:w="928" w:type="dxa"/>
            <w:noWrap/>
            <w:hideMark/>
          </w:tcPr>
          <w:p w14:paraId="6B1D1294" w14:textId="77777777" w:rsidR="009B683B" w:rsidRPr="004A2923" w:rsidRDefault="009B683B" w:rsidP="00E02BFE">
            <w:r w:rsidRPr="004A2923">
              <w:t>66</w:t>
            </w:r>
          </w:p>
        </w:tc>
        <w:tc>
          <w:tcPr>
            <w:tcW w:w="3745" w:type="dxa"/>
            <w:hideMark/>
          </w:tcPr>
          <w:p w14:paraId="555EA037" w14:textId="77777777" w:rsidR="009B683B" w:rsidRPr="004A2923" w:rsidRDefault="009B683B" w:rsidP="00E02BFE">
            <w:r w:rsidRPr="004A2923">
              <w:t>Prihodi od prodaje proizvoda te pruženih usluga</w:t>
            </w:r>
          </w:p>
        </w:tc>
        <w:tc>
          <w:tcPr>
            <w:tcW w:w="1418" w:type="dxa"/>
            <w:noWrap/>
            <w:hideMark/>
          </w:tcPr>
          <w:p w14:paraId="2A353FEA" w14:textId="77777777" w:rsidR="009B683B" w:rsidRPr="004A2923" w:rsidRDefault="009B683B" w:rsidP="00A32C47">
            <w:pPr>
              <w:jc w:val="right"/>
            </w:pPr>
            <w:r w:rsidRPr="004A2923">
              <w:t>323.590,00</w:t>
            </w:r>
          </w:p>
        </w:tc>
        <w:tc>
          <w:tcPr>
            <w:tcW w:w="1559" w:type="dxa"/>
            <w:noWrap/>
            <w:hideMark/>
          </w:tcPr>
          <w:p w14:paraId="57E1B6FE" w14:textId="77777777" w:rsidR="009B683B" w:rsidRPr="004A2923" w:rsidRDefault="009B683B" w:rsidP="00A32C47">
            <w:pPr>
              <w:jc w:val="right"/>
            </w:pPr>
            <w:r w:rsidRPr="004A2923">
              <w:t>452.827,00</w:t>
            </w:r>
          </w:p>
        </w:tc>
        <w:tc>
          <w:tcPr>
            <w:tcW w:w="1417" w:type="dxa"/>
            <w:noWrap/>
            <w:hideMark/>
          </w:tcPr>
          <w:p w14:paraId="093616F4" w14:textId="77777777" w:rsidR="009B683B" w:rsidRPr="004A2923" w:rsidRDefault="009B683B" w:rsidP="00A32C47">
            <w:pPr>
              <w:jc w:val="center"/>
            </w:pPr>
            <w:r w:rsidRPr="004A2923">
              <w:t>139,90</w:t>
            </w:r>
          </w:p>
        </w:tc>
      </w:tr>
      <w:tr w:rsidR="009B683B" w:rsidRPr="004A2923" w14:paraId="102060EE" w14:textId="77777777" w:rsidTr="009B683B">
        <w:trPr>
          <w:trHeight w:val="708"/>
        </w:trPr>
        <w:tc>
          <w:tcPr>
            <w:tcW w:w="928" w:type="dxa"/>
            <w:noWrap/>
            <w:hideMark/>
          </w:tcPr>
          <w:p w14:paraId="5E573AFE" w14:textId="77777777" w:rsidR="009B683B" w:rsidRPr="004A2923" w:rsidRDefault="009B683B" w:rsidP="00E02BFE">
            <w:r w:rsidRPr="004A2923">
              <w:t>661</w:t>
            </w:r>
          </w:p>
        </w:tc>
        <w:tc>
          <w:tcPr>
            <w:tcW w:w="3745" w:type="dxa"/>
            <w:hideMark/>
          </w:tcPr>
          <w:p w14:paraId="537F1463" w14:textId="77777777" w:rsidR="009B683B" w:rsidRPr="004A2923" w:rsidRDefault="009B683B" w:rsidP="00E02BFE">
            <w:r w:rsidRPr="004A2923">
              <w:t>Prihodi od prodaje proizvoda te pruženih usluga</w:t>
            </w:r>
          </w:p>
        </w:tc>
        <w:tc>
          <w:tcPr>
            <w:tcW w:w="1418" w:type="dxa"/>
            <w:noWrap/>
            <w:hideMark/>
          </w:tcPr>
          <w:p w14:paraId="4D3E0C4E" w14:textId="77777777" w:rsidR="009B683B" w:rsidRPr="004A2923" w:rsidRDefault="009B683B" w:rsidP="00A32C47">
            <w:pPr>
              <w:jc w:val="right"/>
            </w:pPr>
            <w:r w:rsidRPr="004A2923">
              <w:t>7.500</w:t>
            </w:r>
            <w:r>
              <w:t>,00</w:t>
            </w:r>
          </w:p>
        </w:tc>
        <w:tc>
          <w:tcPr>
            <w:tcW w:w="1559" w:type="dxa"/>
            <w:noWrap/>
            <w:hideMark/>
          </w:tcPr>
          <w:p w14:paraId="606AED37" w14:textId="77777777" w:rsidR="009B683B" w:rsidRPr="004A2923" w:rsidRDefault="009B683B" w:rsidP="00A32C47">
            <w:pPr>
              <w:jc w:val="right"/>
            </w:pPr>
            <w:r w:rsidRPr="004A2923">
              <w:t>135.250,00</w:t>
            </w:r>
          </w:p>
        </w:tc>
        <w:tc>
          <w:tcPr>
            <w:tcW w:w="1417" w:type="dxa"/>
            <w:noWrap/>
            <w:hideMark/>
          </w:tcPr>
          <w:p w14:paraId="011B51DE" w14:textId="77777777" w:rsidR="009B683B" w:rsidRPr="004A2923" w:rsidRDefault="009B683B" w:rsidP="00A32C47">
            <w:pPr>
              <w:jc w:val="center"/>
            </w:pPr>
            <w:r w:rsidRPr="004A2923">
              <w:t>1.803,3</w:t>
            </w:r>
          </w:p>
        </w:tc>
      </w:tr>
      <w:tr w:rsidR="009B683B" w:rsidRPr="004A2923" w14:paraId="69542AF6" w14:textId="77777777" w:rsidTr="009B683B">
        <w:trPr>
          <w:trHeight w:val="623"/>
        </w:trPr>
        <w:tc>
          <w:tcPr>
            <w:tcW w:w="928" w:type="dxa"/>
            <w:noWrap/>
            <w:hideMark/>
          </w:tcPr>
          <w:p w14:paraId="4533558A" w14:textId="77777777" w:rsidR="009B683B" w:rsidRPr="004A2923" w:rsidRDefault="009B683B" w:rsidP="00E02BFE">
            <w:r w:rsidRPr="004A2923">
              <w:t>663</w:t>
            </w:r>
          </w:p>
        </w:tc>
        <w:tc>
          <w:tcPr>
            <w:tcW w:w="3745" w:type="dxa"/>
            <w:hideMark/>
          </w:tcPr>
          <w:p w14:paraId="5D65749F" w14:textId="77777777" w:rsidR="009B683B" w:rsidRPr="004A2923" w:rsidRDefault="009B683B" w:rsidP="00E02BFE">
            <w:r w:rsidRPr="004A2923">
              <w:t xml:space="preserve">Donacije od pravnih i fizičkih osoba izvan proračuna </w:t>
            </w:r>
          </w:p>
        </w:tc>
        <w:tc>
          <w:tcPr>
            <w:tcW w:w="1418" w:type="dxa"/>
            <w:noWrap/>
            <w:hideMark/>
          </w:tcPr>
          <w:p w14:paraId="1837E60F" w14:textId="77777777" w:rsidR="009B683B" w:rsidRPr="004A2923" w:rsidRDefault="009B683B" w:rsidP="00A32C47">
            <w:pPr>
              <w:jc w:val="right"/>
            </w:pPr>
            <w:r w:rsidRPr="004A2923">
              <w:t>316.090</w:t>
            </w:r>
            <w:r>
              <w:t>,00</w:t>
            </w:r>
          </w:p>
        </w:tc>
        <w:tc>
          <w:tcPr>
            <w:tcW w:w="1559" w:type="dxa"/>
            <w:noWrap/>
            <w:hideMark/>
          </w:tcPr>
          <w:p w14:paraId="33818F50" w14:textId="77777777" w:rsidR="009B683B" w:rsidRPr="004A2923" w:rsidRDefault="009B683B" w:rsidP="00A32C47">
            <w:pPr>
              <w:jc w:val="right"/>
            </w:pPr>
            <w:r w:rsidRPr="004A2923">
              <w:t>317.577,00</w:t>
            </w:r>
          </w:p>
        </w:tc>
        <w:tc>
          <w:tcPr>
            <w:tcW w:w="1417" w:type="dxa"/>
            <w:noWrap/>
            <w:hideMark/>
          </w:tcPr>
          <w:p w14:paraId="0C63BCF1" w14:textId="77777777" w:rsidR="009B683B" w:rsidRPr="004A2923" w:rsidRDefault="009B683B" w:rsidP="00A32C47">
            <w:pPr>
              <w:jc w:val="center"/>
            </w:pPr>
            <w:r w:rsidRPr="004A2923">
              <w:t>100,5</w:t>
            </w:r>
          </w:p>
        </w:tc>
      </w:tr>
    </w:tbl>
    <w:p w14:paraId="5D010F29" w14:textId="77777777" w:rsidR="000E2AF0" w:rsidRPr="004A2923" w:rsidRDefault="000E2AF0" w:rsidP="00DE3776"/>
    <w:p w14:paraId="0CAF7209" w14:textId="77777777" w:rsidR="000E2AF0" w:rsidRPr="004A2923" w:rsidRDefault="00964C0C" w:rsidP="000B37E0">
      <w:pPr>
        <w:jc w:val="both"/>
      </w:pPr>
      <w:r w:rsidRPr="004A2923">
        <w:t xml:space="preserve">Prihodi od prodaje proizvoda i usluga su </w:t>
      </w:r>
      <w:r w:rsidR="00153D95" w:rsidRPr="004A2923">
        <w:t>za 39,90</w:t>
      </w:r>
      <w:r w:rsidR="00B859F8">
        <w:t xml:space="preserve"> %</w:t>
      </w:r>
      <w:r w:rsidR="00153D95" w:rsidRPr="004A2923">
        <w:t xml:space="preserve"> veći u odnosu na</w:t>
      </w:r>
      <w:r w:rsidR="00A32C47">
        <w:t xml:space="preserve"> isto razdoblje </w:t>
      </w:r>
      <w:r w:rsidR="00153D95" w:rsidRPr="004A2923">
        <w:t>prošl</w:t>
      </w:r>
      <w:r w:rsidR="00A32C47">
        <w:t>e</w:t>
      </w:r>
      <w:r w:rsidR="00153D95" w:rsidRPr="004A2923">
        <w:t xml:space="preserve"> godin</w:t>
      </w:r>
      <w:r w:rsidR="00A32C47">
        <w:t>e</w:t>
      </w:r>
      <w:r w:rsidR="000E034C">
        <w:t>, najvećim dijelom radi ostvarenih sponzorstva (661)</w:t>
      </w:r>
      <w:r w:rsidR="00153D95" w:rsidRPr="004A2923">
        <w:t>.</w:t>
      </w:r>
    </w:p>
    <w:p w14:paraId="41B68A74" w14:textId="77777777" w:rsidR="00D066E4" w:rsidRPr="004A2923" w:rsidRDefault="00D066E4" w:rsidP="00D066E4">
      <w:pPr>
        <w:rPr>
          <w:b/>
          <w:bCs/>
        </w:rPr>
      </w:pPr>
      <w:r w:rsidRPr="004A2923">
        <w:rPr>
          <w:b/>
          <w:bCs/>
        </w:rPr>
        <w:lastRenderedPageBreak/>
        <w:t>Bilješka br. 6  Prihodi iz nadležnog pro</w:t>
      </w:r>
      <w:r w:rsidR="00E80CD3" w:rsidRPr="004A2923">
        <w:rPr>
          <w:b/>
          <w:bCs/>
        </w:rPr>
        <w:t>r</w:t>
      </w:r>
      <w:r w:rsidRPr="004A2923">
        <w:rPr>
          <w:b/>
          <w:bCs/>
        </w:rPr>
        <w:t>ačuna</w:t>
      </w:r>
      <w:r w:rsidR="000E034C">
        <w:rPr>
          <w:b/>
          <w:bCs/>
        </w:rPr>
        <w:t xml:space="preserve"> (u kn)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129"/>
        <w:gridCol w:w="3464"/>
        <w:gridCol w:w="1498"/>
        <w:gridCol w:w="1701"/>
        <w:gridCol w:w="1275"/>
      </w:tblGrid>
      <w:tr w:rsidR="004F6A23" w:rsidRPr="004A2923" w14:paraId="2EAC3986" w14:textId="77777777" w:rsidTr="000E034C">
        <w:trPr>
          <w:trHeight w:val="367"/>
        </w:trPr>
        <w:tc>
          <w:tcPr>
            <w:tcW w:w="1129" w:type="dxa"/>
            <w:hideMark/>
          </w:tcPr>
          <w:p w14:paraId="12EA4D0D" w14:textId="77777777" w:rsidR="004F6A23" w:rsidRPr="004A2923" w:rsidRDefault="004F6A23" w:rsidP="00A32C47">
            <w:pPr>
              <w:jc w:val="center"/>
            </w:pPr>
            <w:r w:rsidRPr="004A2923">
              <w:t>RAZRED</w:t>
            </w:r>
          </w:p>
        </w:tc>
        <w:tc>
          <w:tcPr>
            <w:tcW w:w="3464" w:type="dxa"/>
            <w:hideMark/>
          </w:tcPr>
          <w:p w14:paraId="419A9515" w14:textId="77777777" w:rsidR="004F6A23" w:rsidRPr="004A2923" w:rsidRDefault="004F6A23" w:rsidP="00A32C47">
            <w:pPr>
              <w:jc w:val="center"/>
            </w:pPr>
            <w:r w:rsidRPr="004A2923">
              <w:t>NAZIV</w:t>
            </w:r>
          </w:p>
        </w:tc>
        <w:tc>
          <w:tcPr>
            <w:tcW w:w="1498" w:type="dxa"/>
            <w:noWrap/>
            <w:hideMark/>
          </w:tcPr>
          <w:p w14:paraId="62562AA8" w14:textId="77777777" w:rsidR="004F6A23" w:rsidRPr="004A2923" w:rsidRDefault="004F6A23" w:rsidP="00A32C47">
            <w:pPr>
              <w:jc w:val="center"/>
            </w:pPr>
            <w:r w:rsidRPr="004A2923">
              <w:t>202</w:t>
            </w:r>
            <w:r w:rsidR="00B92E98">
              <w:t>1</w:t>
            </w:r>
          </w:p>
        </w:tc>
        <w:tc>
          <w:tcPr>
            <w:tcW w:w="1701" w:type="dxa"/>
            <w:noWrap/>
            <w:hideMark/>
          </w:tcPr>
          <w:p w14:paraId="1EAF5BAE" w14:textId="77777777" w:rsidR="004F6A23" w:rsidRPr="004A2923" w:rsidRDefault="004F6A23" w:rsidP="00A32C47">
            <w:pPr>
              <w:jc w:val="center"/>
            </w:pPr>
            <w:r w:rsidRPr="004A2923">
              <w:t>202</w:t>
            </w:r>
            <w:r w:rsidR="00B92E98">
              <w:t>2</w:t>
            </w:r>
          </w:p>
        </w:tc>
        <w:tc>
          <w:tcPr>
            <w:tcW w:w="1275" w:type="dxa"/>
            <w:noWrap/>
            <w:hideMark/>
          </w:tcPr>
          <w:p w14:paraId="485CE439" w14:textId="77777777" w:rsidR="004F6A23" w:rsidRPr="004A2923" w:rsidRDefault="004F6A23" w:rsidP="00A32C47">
            <w:pPr>
              <w:jc w:val="center"/>
            </w:pPr>
            <w:r w:rsidRPr="004A2923">
              <w:t>INDEKS</w:t>
            </w:r>
          </w:p>
        </w:tc>
      </w:tr>
      <w:tr w:rsidR="004F6A23" w:rsidRPr="004A2923" w14:paraId="59600FED" w14:textId="77777777" w:rsidTr="000E034C">
        <w:trPr>
          <w:trHeight w:val="428"/>
        </w:trPr>
        <w:tc>
          <w:tcPr>
            <w:tcW w:w="1129" w:type="dxa"/>
            <w:noWrap/>
            <w:hideMark/>
          </w:tcPr>
          <w:p w14:paraId="202782DA" w14:textId="77777777" w:rsidR="004F6A23" w:rsidRPr="004A2923" w:rsidRDefault="004F6A23" w:rsidP="002B76FF">
            <w:r w:rsidRPr="004A2923">
              <w:t>67</w:t>
            </w:r>
          </w:p>
        </w:tc>
        <w:tc>
          <w:tcPr>
            <w:tcW w:w="3464" w:type="dxa"/>
            <w:hideMark/>
          </w:tcPr>
          <w:p w14:paraId="26D3AF60" w14:textId="77777777" w:rsidR="004F6A23" w:rsidRPr="004A2923" w:rsidRDefault="004F6A23">
            <w:r w:rsidRPr="004A2923">
              <w:t>Prihodi iz nadležnog proračuna</w:t>
            </w:r>
          </w:p>
        </w:tc>
        <w:tc>
          <w:tcPr>
            <w:tcW w:w="1498" w:type="dxa"/>
            <w:noWrap/>
            <w:hideMark/>
          </w:tcPr>
          <w:p w14:paraId="21FBC8F9" w14:textId="77777777" w:rsidR="004F6A23" w:rsidRPr="004A2923" w:rsidRDefault="004F6A23" w:rsidP="000E034C">
            <w:pPr>
              <w:jc w:val="right"/>
            </w:pPr>
            <w:r w:rsidRPr="004A2923">
              <w:t>50.269.006</w:t>
            </w:r>
            <w:r w:rsidR="000E034C">
              <w:t>,00</w:t>
            </w:r>
          </w:p>
        </w:tc>
        <w:tc>
          <w:tcPr>
            <w:tcW w:w="1701" w:type="dxa"/>
            <w:noWrap/>
            <w:hideMark/>
          </w:tcPr>
          <w:p w14:paraId="5359BCCA" w14:textId="77777777" w:rsidR="004F6A23" w:rsidRPr="004A2923" w:rsidRDefault="004F6A23" w:rsidP="000E034C">
            <w:pPr>
              <w:jc w:val="right"/>
            </w:pPr>
            <w:r w:rsidRPr="004A2923">
              <w:t>57.049.310,61</w:t>
            </w:r>
          </w:p>
        </w:tc>
        <w:tc>
          <w:tcPr>
            <w:tcW w:w="1275" w:type="dxa"/>
            <w:noWrap/>
            <w:hideMark/>
          </w:tcPr>
          <w:p w14:paraId="34AC8466" w14:textId="77777777" w:rsidR="004F6A23" w:rsidRPr="004A2923" w:rsidRDefault="004F6A23" w:rsidP="000E034C">
            <w:pPr>
              <w:jc w:val="center"/>
            </w:pPr>
            <w:r w:rsidRPr="004A2923">
              <w:t>113,50</w:t>
            </w:r>
          </w:p>
        </w:tc>
      </w:tr>
      <w:tr w:rsidR="004F6A23" w:rsidRPr="004A2923" w14:paraId="1184F023" w14:textId="77777777" w:rsidTr="000E034C">
        <w:trPr>
          <w:trHeight w:val="561"/>
        </w:trPr>
        <w:tc>
          <w:tcPr>
            <w:tcW w:w="1129" w:type="dxa"/>
            <w:noWrap/>
            <w:hideMark/>
          </w:tcPr>
          <w:p w14:paraId="554FCCE4" w14:textId="77777777" w:rsidR="004F6A23" w:rsidRPr="004A2923" w:rsidRDefault="004F6A23" w:rsidP="002B76FF">
            <w:r w:rsidRPr="004A2923">
              <w:t>6711</w:t>
            </w:r>
          </w:p>
        </w:tc>
        <w:tc>
          <w:tcPr>
            <w:tcW w:w="3464" w:type="dxa"/>
            <w:hideMark/>
          </w:tcPr>
          <w:p w14:paraId="71741FD7" w14:textId="77777777" w:rsidR="004F6A23" w:rsidRPr="004A2923" w:rsidRDefault="004F6A23">
            <w:r w:rsidRPr="004A2923">
              <w:t>Prihodi iz nadležnog proračuna za financiranje rashoda poslovanja</w:t>
            </w:r>
          </w:p>
        </w:tc>
        <w:tc>
          <w:tcPr>
            <w:tcW w:w="1498" w:type="dxa"/>
            <w:noWrap/>
            <w:hideMark/>
          </w:tcPr>
          <w:p w14:paraId="0EF67338" w14:textId="77777777" w:rsidR="004F6A23" w:rsidRPr="004A2923" w:rsidRDefault="004F6A23" w:rsidP="000E034C">
            <w:pPr>
              <w:jc w:val="right"/>
            </w:pPr>
            <w:r w:rsidRPr="004A2923">
              <w:t>50.080.306</w:t>
            </w:r>
            <w:r w:rsidR="000E034C">
              <w:t>,00</w:t>
            </w:r>
          </w:p>
        </w:tc>
        <w:tc>
          <w:tcPr>
            <w:tcW w:w="1701" w:type="dxa"/>
            <w:noWrap/>
            <w:hideMark/>
          </w:tcPr>
          <w:p w14:paraId="1FAEE56A" w14:textId="77777777" w:rsidR="004F6A23" w:rsidRPr="004A2923" w:rsidRDefault="004F6A23" w:rsidP="000E034C">
            <w:pPr>
              <w:jc w:val="right"/>
            </w:pPr>
            <w:r w:rsidRPr="004A2923">
              <w:t>56.349.310,61</w:t>
            </w:r>
          </w:p>
        </w:tc>
        <w:tc>
          <w:tcPr>
            <w:tcW w:w="1275" w:type="dxa"/>
            <w:noWrap/>
            <w:hideMark/>
          </w:tcPr>
          <w:p w14:paraId="13A3E495" w14:textId="77777777" w:rsidR="004F6A23" w:rsidRPr="004A2923" w:rsidRDefault="004F6A23" w:rsidP="000E034C">
            <w:pPr>
              <w:jc w:val="center"/>
            </w:pPr>
            <w:r w:rsidRPr="004A2923">
              <w:t>112.50</w:t>
            </w:r>
          </w:p>
        </w:tc>
      </w:tr>
      <w:tr w:rsidR="004F6A23" w:rsidRPr="004A2923" w14:paraId="2BF714B4" w14:textId="77777777" w:rsidTr="000E034C">
        <w:trPr>
          <w:trHeight w:val="555"/>
        </w:trPr>
        <w:tc>
          <w:tcPr>
            <w:tcW w:w="1129" w:type="dxa"/>
            <w:noWrap/>
            <w:hideMark/>
          </w:tcPr>
          <w:p w14:paraId="33FD378C" w14:textId="77777777" w:rsidR="004F6A23" w:rsidRPr="004A2923" w:rsidRDefault="004F6A23" w:rsidP="002B76FF">
            <w:r w:rsidRPr="004A2923">
              <w:t>6712</w:t>
            </w:r>
          </w:p>
        </w:tc>
        <w:tc>
          <w:tcPr>
            <w:tcW w:w="3464" w:type="dxa"/>
            <w:hideMark/>
          </w:tcPr>
          <w:p w14:paraId="1448BE9E" w14:textId="77777777" w:rsidR="004F6A23" w:rsidRPr="004A2923" w:rsidRDefault="004F6A23">
            <w:r w:rsidRPr="004A2923">
              <w:t xml:space="preserve">Prihodi iz nadležnog proračuna za financijsku imovinu </w:t>
            </w:r>
          </w:p>
        </w:tc>
        <w:tc>
          <w:tcPr>
            <w:tcW w:w="1498" w:type="dxa"/>
            <w:noWrap/>
            <w:hideMark/>
          </w:tcPr>
          <w:p w14:paraId="45C5752F" w14:textId="77777777" w:rsidR="004F6A23" w:rsidRPr="004A2923" w:rsidRDefault="004F6A23" w:rsidP="000E034C">
            <w:pPr>
              <w:jc w:val="right"/>
            </w:pPr>
            <w:r w:rsidRPr="004A2923">
              <w:t>180.000</w:t>
            </w:r>
            <w:r w:rsidR="000E034C">
              <w:t>,00</w:t>
            </w:r>
          </w:p>
        </w:tc>
        <w:tc>
          <w:tcPr>
            <w:tcW w:w="1701" w:type="dxa"/>
            <w:noWrap/>
            <w:hideMark/>
          </w:tcPr>
          <w:p w14:paraId="432D7859" w14:textId="77777777" w:rsidR="004F6A23" w:rsidRPr="004A2923" w:rsidRDefault="004F6A23" w:rsidP="000E034C">
            <w:pPr>
              <w:jc w:val="right"/>
            </w:pPr>
            <w:r w:rsidRPr="004A2923">
              <w:t>700.000</w:t>
            </w:r>
            <w:r w:rsidR="000E034C">
              <w:t>,00</w:t>
            </w:r>
          </w:p>
        </w:tc>
        <w:tc>
          <w:tcPr>
            <w:tcW w:w="1275" w:type="dxa"/>
            <w:noWrap/>
            <w:hideMark/>
          </w:tcPr>
          <w:p w14:paraId="426EB3DE" w14:textId="77777777" w:rsidR="004F6A23" w:rsidRPr="004A2923" w:rsidRDefault="004F6A23" w:rsidP="000E034C">
            <w:pPr>
              <w:jc w:val="center"/>
            </w:pPr>
            <w:r w:rsidRPr="004A2923">
              <w:t>371,0</w:t>
            </w:r>
          </w:p>
        </w:tc>
      </w:tr>
    </w:tbl>
    <w:p w14:paraId="40E21B0D" w14:textId="77777777" w:rsidR="002B76FF" w:rsidRPr="004A2923" w:rsidRDefault="002B76FF"/>
    <w:p w14:paraId="3D349D83" w14:textId="77777777" w:rsidR="00C86EE8" w:rsidRDefault="00252590">
      <w:r w:rsidRPr="004A2923">
        <w:t xml:space="preserve">Ukupni prihodi iz nadležnog proračuna ostvareni u </w:t>
      </w:r>
      <w:r w:rsidR="00845984" w:rsidRPr="004A2923">
        <w:t>202</w:t>
      </w:r>
      <w:r w:rsidR="004F6A23" w:rsidRPr="004A2923">
        <w:t>2</w:t>
      </w:r>
      <w:r w:rsidR="00845984" w:rsidRPr="004A2923">
        <w:t xml:space="preserve">. </w:t>
      </w:r>
      <w:r w:rsidRPr="004A2923">
        <w:t xml:space="preserve"> godini </w:t>
      </w:r>
      <w:r w:rsidR="000E034C">
        <w:t xml:space="preserve">iznosili su </w:t>
      </w:r>
      <w:r w:rsidR="0071426F" w:rsidRPr="004A2923">
        <w:t xml:space="preserve"> </w:t>
      </w:r>
      <w:r w:rsidR="004F6A23" w:rsidRPr="004A2923">
        <w:t>57.049.310,61</w:t>
      </w:r>
      <w:r w:rsidR="0008090F" w:rsidRPr="004A2923">
        <w:t xml:space="preserve"> </w:t>
      </w:r>
      <w:r w:rsidR="000E034C">
        <w:t xml:space="preserve">kn, što je u više za </w:t>
      </w:r>
      <w:r w:rsidR="004F6A23" w:rsidRPr="004A2923">
        <w:t>13,5</w:t>
      </w:r>
      <w:r w:rsidR="00845984" w:rsidRPr="004A2923">
        <w:t>0</w:t>
      </w:r>
      <w:r w:rsidR="0071426F" w:rsidRPr="004A2923">
        <w:t xml:space="preserve"> </w:t>
      </w:r>
      <w:r w:rsidR="00B859F8">
        <w:t xml:space="preserve"> %</w:t>
      </w:r>
      <w:r w:rsidR="00F31360" w:rsidRPr="004A2923">
        <w:t xml:space="preserve"> </w:t>
      </w:r>
      <w:r w:rsidR="0008090F" w:rsidRPr="004A2923">
        <w:t xml:space="preserve">u odnosu na </w:t>
      </w:r>
      <w:r w:rsidR="000E034C">
        <w:t xml:space="preserve">isto razdoblje </w:t>
      </w:r>
      <w:r w:rsidR="0071426F" w:rsidRPr="004A2923">
        <w:t>20</w:t>
      </w:r>
      <w:r w:rsidR="00D20A3B" w:rsidRPr="004A2923">
        <w:t>2</w:t>
      </w:r>
      <w:r w:rsidR="004F6A23" w:rsidRPr="004A2923">
        <w:t>1</w:t>
      </w:r>
      <w:r w:rsidR="00D20A3B" w:rsidRPr="004A2923">
        <w:t xml:space="preserve">. </w:t>
      </w:r>
      <w:r w:rsidR="0008090F" w:rsidRPr="004A2923">
        <w:t>godin</w:t>
      </w:r>
      <w:r w:rsidR="000E034C">
        <w:t>e</w:t>
      </w:r>
      <w:r w:rsidR="000B37E0">
        <w:t>, na što je značajnije utjecalo financiranje rashoda programa ali i nabave nefinancijske imovine (6712).</w:t>
      </w:r>
    </w:p>
    <w:p w14:paraId="268B71A0" w14:textId="77777777" w:rsidR="00CF12B0" w:rsidRPr="004A2923" w:rsidRDefault="00CF12B0"/>
    <w:p w14:paraId="4E92C218" w14:textId="77777777" w:rsidR="00B67388" w:rsidRPr="000B37E0" w:rsidRDefault="000B37E0">
      <w:pPr>
        <w:rPr>
          <w:b/>
          <w:bCs/>
        </w:rPr>
      </w:pPr>
      <w:r w:rsidRPr="000B37E0">
        <w:rPr>
          <w:b/>
          <w:bCs/>
        </w:rPr>
        <w:t>Bilješka br. 7</w:t>
      </w:r>
      <w:r>
        <w:rPr>
          <w:b/>
          <w:bCs/>
        </w:rPr>
        <w:t>.</w:t>
      </w:r>
      <w:r w:rsidRPr="000B37E0">
        <w:rPr>
          <w:b/>
          <w:bCs/>
        </w:rPr>
        <w:t xml:space="preserve"> Ostali prihodi (u kn)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129"/>
        <w:gridCol w:w="3402"/>
        <w:gridCol w:w="1560"/>
        <w:gridCol w:w="1701"/>
        <w:gridCol w:w="1275"/>
      </w:tblGrid>
      <w:tr w:rsidR="004F6A23" w:rsidRPr="004A2923" w14:paraId="512DC102" w14:textId="77777777" w:rsidTr="000B37E0">
        <w:trPr>
          <w:trHeight w:val="472"/>
        </w:trPr>
        <w:tc>
          <w:tcPr>
            <w:tcW w:w="1129" w:type="dxa"/>
            <w:hideMark/>
          </w:tcPr>
          <w:p w14:paraId="6F2CEAAF" w14:textId="77777777" w:rsidR="004F6A23" w:rsidRPr="004A2923" w:rsidRDefault="004F6A23" w:rsidP="000B37E0">
            <w:pPr>
              <w:jc w:val="center"/>
            </w:pPr>
            <w:r w:rsidRPr="004A2923">
              <w:t>RAZRED</w:t>
            </w:r>
          </w:p>
        </w:tc>
        <w:tc>
          <w:tcPr>
            <w:tcW w:w="3402" w:type="dxa"/>
            <w:hideMark/>
          </w:tcPr>
          <w:p w14:paraId="29341EDB" w14:textId="77777777" w:rsidR="004F6A23" w:rsidRPr="004A2923" w:rsidRDefault="004F6A23" w:rsidP="000B37E0">
            <w:pPr>
              <w:jc w:val="center"/>
            </w:pPr>
            <w:r w:rsidRPr="004A2923">
              <w:t>NAZIV</w:t>
            </w:r>
          </w:p>
        </w:tc>
        <w:tc>
          <w:tcPr>
            <w:tcW w:w="1560" w:type="dxa"/>
            <w:noWrap/>
            <w:hideMark/>
          </w:tcPr>
          <w:p w14:paraId="4F9084F5" w14:textId="77777777" w:rsidR="004F6A23" w:rsidRPr="004A2923" w:rsidRDefault="004F6A23" w:rsidP="000B37E0">
            <w:pPr>
              <w:jc w:val="center"/>
            </w:pPr>
            <w:r w:rsidRPr="004A2923">
              <w:t>2021</w:t>
            </w:r>
          </w:p>
        </w:tc>
        <w:tc>
          <w:tcPr>
            <w:tcW w:w="1701" w:type="dxa"/>
            <w:noWrap/>
            <w:hideMark/>
          </w:tcPr>
          <w:p w14:paraId="76499D31" w14:textId="77777777" w:rsidR="004F6A23" w:rsidRPr="004A2923" w:rsidRDefault="004F6A23" w:rsidP="000B37E0">
            <w:pPr>
              <w:jc w:val="center"/>
            </w:pPr>
            <w:r w:rsidRPr="004A2923">
              <w:t>2022</w:t>
            </w:r>
          </w:p>
        </w:tc>
        <w:tc>
          <w:tcPr>
            <w:tcW w:w="1275" w:type="dxa"/>
            <w:noWrap/>
            <w:hideMark/>
          </w:tcPr>
          <w:p w14:paraId="01205A1D" w14:textId="77777777" w:rsidR="004F6A23" w:rsidRPr="004A2923" w:rsidRDefault="004F6A23" w:rsidP="000B37E0">
            <w:pPr>
              <w:jc w:val="center"/>
            </w:pPr>
            <w:r w:rsidRPr="004A2923">
              <w:t>INDEKS</w:t>
            </w:r>
          </w:p>
        </w:tc>
      </w:tr>
      <w:tr w:rsidR="004F6A23" w:rsidRPr="004A2923" w14:paraId="109AC42D" w14:textId="77777777" w:rsidTr="000B37E0">
        <w:trPr>
          <w:trHeight w:val="408"/>
        </w:trPr>
        <w:tc>
          <w:tcPr>
            <w:tcW w:w="1129" w:type="dxa"/>
            <w:noWrap/>
            <w:hideMark/>
          </w:tcPr>
          <w:p w14:paraId="63524597" w14:textId="77777777" w:rsidR="004F6A23" w:rsidRPr="004A2923" w:rsidRDefault="004F6A23" w:rsidP="00B67388">
            <w:r w:rsidRPr="004A2923">
              <w:t>683</w:t>
            </w:r>
          </w:p>
        </w:tc>
        <w:tc>
          <w:tcPr>
            <w:tcW w:w="3402" w:type="dxa"/>
            <w:hideMark/>
          </w:tcPr>
          <w:p w14:paraId="66448B51" w14:textId="77777777" w:rsidR="004F6A23" w:rsidRPr="004A2923" w:rsidRDefault="004F6A23">
            <w:r w:rsidRPr="004A2923">
              <w:t>Ostali prihodi</w:t>
            </w:r>
          </w:p>
        </w:tc>
        <w:tc>
          <w:tcPr>
            <w:tcW w:w="1560" w:type="dxa"/>
            <w:noWrap/>
            <w:hideMark/>
          </w:tcPr>
          <w:p w14:paraId="6EA19DFB" w14:textId="77777777" w:rsidR="004F6A23" w:rsidRPr="004A2923" w:rsidRDefault="004F6A23" w:rsidP="000B37E0">
            <w:pPr>
              <w:jc w:val="right"/>
            </w:pPr>
            <w:r w:rsidRPr="004A2923">
              <w:t>610.625</w:t>
            </w:r>
          </w:p>
        </w:tc>
        <w:tc>
          <w:tcPr>
            <w:tcW w:w="1701" w:type="dxa"/>
            <w:noWrap/>
            <w:hideMark/>
          </w:tcPr>
          <w:p w14:paraId="4936942E" w14:textId="77777777" w:rsidR="004F6A23" w:rsidRPr="004A2923" w:rsidRDefault="004F6A23" w:rsidP="000B37E0">
            <w:pPr>
              <w:jc w:val="right"/>
            </w:pPr>
            <w:r w:rsidRPr="004A2923">
              <w:t>1.204.083,38</w:t>
            </w:r>
          </w:p>
        </w:tc>
        <w:tc>
          <w:tcPr>
            <w:tcW w:w="1275" w:type="dxa"/>
            <w:noWrap/>
            <w:hideMark/>
          </w:tcPr>
          <w:p w14:paraId="4DDF7510" w14:textId="77777777" w:rsidR="004F6A23" w:rsidRPr="004A2923" w:rsidRDefault="004F6A23" w:rsidP="00B67388">
            <w:r w:rsidRPr="004A2923">
              <w:t>197,20</w:t>
            </w:r>
          </w:p>
        </w:tc>
      </w:tr>
    </w:tbl>
    <w:p w14:paraId="1C64B244" w14:textId="77777777" w:rsidR="00B67388" w:rsidRPr="004A2923" w:rsidRDefault="00B67388"/>
    <w:p w14:paraId="5E178BDB" w14:textId="77777777" w:rsidR="00202D81" w:rsidRPr="004A2923" w:rsidRDefault="0070219E" w:rsidP="000B37E0">
      <w:pPr>
        <w:jc w:val="both"/>
      </w:pPr>
      <w:r w:rsidRPr="004A2923">
        <w:t xml:space="preserve">Ostali prihodi </w:t>
      </w:r>
      <w:r w:rsidR="004F6A23" w:rsidRPr="004A2923">
        <w:t xml:space="preserve">(683) </w:t>
      </w:r>
      <w:r w:rsidRPr="004A2923">
        <w:t xml:space="preserve">u </w:t>
      </w:r>
      <w:r w:rsidR="00A46DDD" w:rsidRPr="004A2923">
        <w:t>202</w:t>
      </w:r>
      <w:r w:rsidR="004F6A23" w:rsidRPr="004A2923">
        <w:t>2</w:t>
      </w:r>
      <w:r w:rsidR="000B37E0">
        <w:t>.</w:t>
      </w:r>
      <w:r w:rsidRPr="004A2923">
        <w:t xml:space="preserve"> godini ostvareni </w:t>
      </w:r>
      <w:r w:rsidR="000B37E0">
        <w:t xml:space="preserve">su </w:t>
      </w:r>
      <w:r w:rsidRPr="004A2923">
        <w:t xml:space="preserve">u iznosu od </w:t>
      </w:r>
      <w:r w:rsidR="004F6A23" w:rsidRPr="004A2923">
        <w:t>1.204.083,38</w:t>
      </w:r>
      <w:r w:rsidR="00A46DDD" w:rsidRPr="004A2923">
        <w:t xml:space="preserve"> </w:t>
      </w:r>
      <w:r w:rsidRPr="004A2923">
        <w:t xml:space="preserve"> </w:t>
      </w:r>
      <w:r w:rsidR="000B37E0">
        <w:t>kn, š</w:t>
      </w:r>
      <w:r w:rsidR="00B01871" w:rsidRPr="004A2923">
        <w:t xml:space="preserve">to je </w:t>
      </w:r>
      <w:r w:rsidR="004F6A23" w:rsidRPr="004A2923">
        <w:t>97,20</w:t>
      </w:r>
      <w:r w:rsidR="00A46DDD" w:rsidRPr="004A2923">
        <w:t xml:space="preserve"> </w:t>
      </w:r>
      <w:r w:rsidR="00B859F8">
        <w:t xml:space="preserve"> %</w:t>
      </w:r>
      <w:r w:rsidR="004F6A23" w:rsidRPr="004A2923">
        <w:t xml:space="preserve"> više </w:t>
      </w:r>
      <w:r w:rsidR="00F31360" w:rsidRPr="004A2923">
        <w:t xml:space="preserve"> u odnosu na </w:t>
      </w:r>
      <w:r w:rsidRPr="004A2923">
        <w:t xml:space="preserve"> </w:t>
      </w:r>
      <w:r w:rsidR="000B37E0">
        <w:t xml:space="preserve">isto razdoblje </w:t>
      </w:r>
      <w:r w:rsidRPr="004A2923">
        <w:t>20</w:t>
      </w:r>
      <w:r w:rsidR="00A46DDD" w:rsidRPr="004A2923">
        <w:t>2</w:t>
      </w:r>
      <w:r w:rsidR="004F6A23" w:rsidRPr="004A2923">
        <w:t>1</w:t>
      </w:r>
      <w:r w:rsidRPr="004A2923">
        <w:t>. godin</w:t>
      </w:r>
      <w:r w:rsidR="000B37E0">
        <w:t xml:space="preserve">e i to najviše radi primljenih uplata </w:t>
      </w:r>
      <w:r w:rsidR="00A52A58" w:rsidRPr="004A2923">
        <w:t>za projekt</w:t>
      </w:r>
      <w:r w:rsidR="00C55FBD">
        <w:t>e</w:t>
      </w:r>
      <w:r w:rsidR="00A52A58" w:rsidRPr="004A2923">
        <w:t xml:space="preserve"> </w:t>
      </w:r>
      <w:proofErr w:type="spellStart"/>
      <w:r w:rsidR="00A52A58" w:rsidRPr="004A2923">
        <w:t>Prospero</w:t>
      </w:r>
      <w:proofErr w:type="spellEnd"/>
      <w:r w:rsidR="00C55FBD">
        <w:t xml:space="preserve"> i </w:t>
      </w:r>
      <w:proofErr w:type="spellStart"/>
      <w:r w:rsidR="00C55FBD">
        <w:t>Stages</w:t>
      </w:r>
      <w:proofErr w:type="spellEnd"/>
      <w:r w:rsidR="000B37E0">
        <w:t xml:space="preserve"> -</w:t>
      </w:r>
      <w:r w:rsidR="00A52A58" w:rsidRPr="004A2923">
        <w:t xml:space="preserve"> suradnja s europskim kazalištima</w:t>
      </w:r>
      <w:r w:rsidR="00C55FBD">
        <w:t xml:space="preserve"> te prihodi s osnove naknade štete od agencije </w:t>
      </w:r>
      <w:proofErr w:type="spellStart"/>
      <w:r w:rsidR="00A52A58" w:rsidRPr="004A2923">
        <w:t>Spera</w:t>
      </w:r>
      <w:r w:rsidR="00C55FBD">
        <w:t>n</w:t>
      </w:r>
      <w:r w:rsidR="00A52A58" w:rsidRPr="004A2923">
        <w:t>za</w:t>
      </w:r>
      <w:proofErr w:type="spellEnd"/>
      <w:r w:rsidR="00A52A58" w:rsidRPr="004A2923">
        <w:t xml:space="preserve"> </w:t>
      </w:r>
      <w:r w:rsidR="00C55FBD">
        <w:t>za povrat sredstava putnih troškova koji nisu bili ostvareni zbog mjera uslijed pandemije COVID-19, a podmireni su tijekom 2021. godine.</w:t>
      </w:r>
    </w:p>
    <w:p w14:paraId="485D3064" w14:textId="77777777" w:rsidR="009F613D" w:rsidRPr="004A2923" w:rsidRDefault="009F613D" w:rsidP="00C974F5">
      <w:pPr>
        <w:rPr>
          <w:b/>
          <w:bCs/>
        </w:rPr>
      </w:pPr>
    </w:p>
    <w:p w14:paraId="3A165262" w14:textId="77777777" w:rsidR="00C974F5" w:rsidRPr="004A2923" w:rsidRDefault="0070219E" w:rsidP="00C974F5">
      <w:pPr>
        <w:rPr>
          <w:b/>
          <w:bCs/>
        </w:rPr>
      </w:pPr>
      <w:bookmarkStart w:id="2" w:name="_Hlk93997721"/>
      <w:r w:rsidRPr="004A2923">
        <w:rPr>
          <w:b/>
          <w:bCs/>
        </w:rPr>
        <w:t xml:space="preserve">Bilješka br. </w:t>
      </w:r>
      <w:r w:rsidR="000B37E0">
        <w:rPr>
          <w:b/>
          <w:bCs/>
        </w:rPr>
        <w:t>8.</w:t>
      </w:r>
      <w:r w:rsidR="00C7551A" w:rsidRPr="004A2923">
        <w:rPr>
          <w:b/>
          <w:bCs/>
        </w:rPr>
        <w:t xml:space="preserve"> </w:t>
      </w:r>
      <w:r w:rsidR="00C974F5" w:rsidRPr="004A2923">
        <w:rPr>
          <w:b/>
          <w:bCs/>
        </w:rPr>
        <w:t xml:space="preserve">Prihodi od prodaje nefinancijske imovine </w:t>
      </w:r>
      <w:r w:rsidR="000B37E0">
        <w:rPr>
          <w:b/>
          <w:bCs/>
        </w:rPr>
        <w:t>(u kn)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129"/>
        <w:gridCol w:w="3402"/>
        <w:gridCol w:w="1560"/>
        <w:gridCol w:w="1701"/>
        <w:gridCol w:w="1275"/>
      </w:tblGrid>
      <w:tr w:rsidR="00592474" w:rsidRPr="004A2923" w14:paraId="07902BA0" w14:textId="77777777" w:rsidTr="000B37E0">
        <w:trPr>
          <w:trHeight w:val="412"/>
        </w:trPr>
        <w:tc>
          <w:tcPr>
            <w:tcW w:w="1129" w:type="dxa"/>
            <w:hideMark/>
          </w:tcPr>
          <w:bookmarkEnd w:id="2"/>
          <w:p w14:paraId="05633C37" w14:textId="77777777" w:rsidR="00592474" w:rsidRPr="004A2923" w:rsidRDefault="00592474" w:rsidP="00A32C47">
            <w:pPr>
              <w:jc w:val="center"/>
            </w:pPr>
            <w:r w:rsidRPr="004A2923">
              <w:t>RAZRED</w:t>
            </w:r>
          </w:p>
        </w:tc>
        <w:tc>
          <w:tcPr>
            <w:tcW w:w="3402" w:type="dxa"/>
            <w:hideMark/>
          </w:tcPr>
          <w:p w14:paraId="4B09CFD0" w14:textId="77777777" w:rsidR="00592474" w:rsidRPr="004A2923" w:rsidRDefault="00592474" w:rsidP="00A32C47">
            <w:pPr>
              <w:jc w:val="center"/>
            </w:pPr>
            <w:r w:rsidRPr="004A2923">
              <w:t>NAZIV</w:t>
            </w:r>
          </w:p>
        </w:tc>
        <w:tc>
          <w:tcPr>
            <w:tcW w:w="1560" w:type="dxa"/>
            <w:noWrap/>
            <w:hideMark/>
          </w:tcPr>
          <w:p w14:paraId="5276437D" w14:textId="77777777" w:rsidR="00592474" w:rsidRPr="004A2923" w:rsidRDefault="00592474" w:rsidP="00A32C47">
            <w:pPr>
              <w:jc w:val="center"/>
            </w:pPr>
            <w:r w:rsidRPr="004A2923">
              <w:t>202</w:t>
            </w:r>
            <w:r w:rsidR="00B92E98">
              <w:t>1</w:t>
            </w:r>
          </w:p>
        </w:tc>
        <w:tc>
          <w:tcPr>
            <w:tcW w:w="1701" w:type="dxa"/>
            <w:noWrap/>
            <w:hideMark/>
          </w:tcPr>
          <w:p w14:paraId="1E0805F4" w14:textId="77777777" w:rsidR="00592474" w:rsidRPr="004A2923" w:rsidRDefault="00592474" w:rsidP="00A32C47">
            <w:pPr>
              <w:jc w:val="center"/>
            </w:pPr>
            <w:r w:rsidRPr="004A2923">
              <w:t>202</w:t>
            </w:r>
            <w:r w:rsidR="00B92E98">
              <w:t>2</w:t>
            </w:r>
          </w:p>
        </w:tc>
        <w:tc>
          <w:tcPr>
            <w:tcW w:w="1275" w:type="dxa"/>
            <w:noWrap/>
            <w:hideMark/>
          </w:tcPr>
          <w:p w14:paraId="34D91890" w14:textId="77777777" w:rsidR="00592474" w:rsidRPr="004A2923" w:rsidRDefault="00592474" w:rsidP="00A32C47">
            <w:pPr>
              <w:jc w:val="center"/>
            </w:pPr>
            <w:r w:rsidRPr="004A2923">
              <w:t>INDEKS</w:t>
            </w:r>
          </w:p>
        </w:tc>
      </w:tr>
      <w:tr w:rsidR="00592474" w:rsidRPr="004A2923" w14:paraId="07143D55" w14:textId="77777777" w:rsidTr="000B37E0">
        <w:trPr>
          <w:trHeight w:val="559"/>
        </w:trPr>
        <w:tc>
          <w:tcPr>
            <w:tcW w:w="1129" w:type="dxa"/>
            <w:noWrap/>
            <w:hideMark/>
          </w:tcPr>
          <w:p w14:paraId="40E64E66" w14:textId="77777777" w:rsidR="00592474" w:rsidRPr="004A2923" w:rsidRDefault="00592474" w:rsidP="0070219E">
            <w:r w:rsidRPr="004A2923">
              <w:t>7</w:t>
            </w:r>
          </w:p>
        </w:tc>
        <w:tc>
          <w:tcPr>
            <w:tcW w:w="3402" w:type="dxa"/>
            <w:hideMark/>
          </w:tcPr>
          <w:p w14:paraId="5E5A7E83" w14:textId="77777777" w:rsidR="00592474" w:rsidRPr="004A2923" w:rsidRDefault="00592474">
            <w:r w:rsidRPr="004A2923">
              <w:t>Prihodi od prodaje nefinancijske imovine</w:t>
            </w:r>
          </w:p>
        </w:tc>
        <w:tc>
          <w:tcPr>
            <w:tcW w:w="1560" w:type="dxa"/>
            <w:noWrap/>
            <w:hideMark/>
          </w:tcPr>
          <w:p w14:paraId="50B4512A" w14:textId="77777777" w:rsidR="00592474" w:rsidRPr="004A2923" w:rsidRDefault="00592474" w:rsidP="000B37E0">
            <w:pPr>
              <w:jc w:val="right"/>
            </w:pPr>
            <w:r w:rsidRPr="004A2923">
              <w:t>40.707</w:t>
            </w:r>
            <w:r w:rsidR="000B37E0">
              <w:t>,00</w:t>
            </w:r>
          </w:p>
        </w:tc>
        <w:tc>
          <w:tcPr>
            <w:tcW w:w="1701" w:type="dxa"/>
            <w:noWrap/>
            <w:hideMark/>
          </w:tcPr>
          <w:p w14:paraId="309A8F7A" w14:textId="77777777" w:rsidR="00592474" w:rsidRPr="004A2923" w:rsidRDefault="00592474" w:rsidP="000B37E0">
            <w:pPr>
              <w:jc w:val="right"/>
            </w:pPr>
            <w:r w:rsidRPr="004A2923">
              <w:t>18.569,01</w:t>
            </w:r>
          </w:p>
        </w:tc>
        <w:tc>
          <w:tcPr>
            <w:tcW w:w="1275" w:type="dxa"/>
            <w:noWrap/>
            <w:hideMark/>
          </w:tcPr>
          <w:p w14:paraId="347EFF48" w14:textId="77777777" w:rsidR="00592474" w:rsidRPr="004A2923" w:rsidRDefault="00592474" w:rsidP="000B37E0">
            <w:pPr>
              <w:jc w:val="center"/>
            </w:pPr>
            <w:r w:rsidRPr="004A2923">
              <w:t>45,60</w:t>
            </w:r>
          </w:p>
        </w:tc>
      </w:tr>
    </w:tbl>
    <w:p w14:paraId="2E81A6FE" w14:textId="77777777" w:rsidR="0070219E" w:rsidRPr="004A2923" w:rsidRDefault="0070219E"/>
    <w:p w14:paraId="3EF03232" w14:textId="77777777" w:rsidR="0070219E" w:rsidRDefault="0070219E" w:rsidP="000B37E0">
      <w:pPr>
        <w:jc w:val="both"/>
      </w:pPr>
      <w:r w:rsidRPr="004A2923">
        <w:t>Prihodi od nefinancijske imovine u 20</w:t>
      </w:r>
      <w:r w:rsidR="009E58F6" w:rsidRPr="004A2923">
        <w:t>2</w:t>
      </w:r>
      <w:r w:rsidR="00592474" w:rsidRPr="004A2923">
        <w:t>2</w:t>
      </w:r>
      <w:r w:rsidRPr="004A2923">
        <w:t xml:space="preserve">.godini su ostvareni u iznosu od </w:t>
      </w:r>
      <w:r w:rsidR="00592474" w:rsidRPr="004A2923">
        <w:t>18.569,01</w:t>
      </w:r>
      <w:r w:rsidR="00B36C90" w:rsidRPr="004A2923">
        <w:t xml:space="preserve"> </w:t>
      </w:r>
      <w:r w:rsidR="000B37E0">
        <w:t xml:space="preserve">kn što je manje u odnosu na isto razdoblje 2021. godine radi </w:t>
      </w:r>
      <w:r w:rsidR="00C75BEB" w:rsidRPr="004A2923">
        <w:t>različite dinamike naplate kredita za stanove u otkupu</w:t>
      </w:r>
      <w:r w:rsidR="000B37E0">
        <w:t xml:space="preserve">. Nadalje, tijekom </w:t>
      </w:r>
      <w:r w:rsidR="00C75BEB" w:rsidRPr="004A2923">
        <w:t>202</w:t>
      </w:r>
      <w:r w:rsidR="00592474" w:rsidRPr="004A2923">
        <w:t>1</w:t>
      </w:r>
      <w:r w:rsidR="00C75BEB" w:rsidRPr="004A2923">
        <w:t>. godin</w:t>
      </w:r>
      <w:r w:rsidR="000B37E0">
        <w:t>e ostvareni su veći prihodi od osnovnih sredstava (</w:t>
      </w:r>
      <w:r w:rsidR="009E2CEB" w:rsidRPr="004A2923">
        <w:t>i</w:t>
      </w:r>
      <w:r w:rsidR="00C75BEB" w:rsidRPr="004A2923">
        <w:t>nstrumen</w:t>
      </w:r>
      <w:r w:rsidR="000B37E0">
        <w:t xml:space="preserve">ti i osobno vozilo). </w:t>
      </w:r>
      <w:r w:rsidR="00592474" w:rsidRPr="004A2923">
        <w:t xml:space="preserve"> </w:t>
      </w:r>
    </w:p>
    <w:p w14:paraId="1FC26C6D" w14:textId="77777777" w:rsidR="003E5A65" w:rsidRDefault="003E5A65">
      <w:pPr>
        <w:rPr>
          <w:b/>
          <w:bCs/>
        </w:rPr>
      </w:pPr>
      <w:r>
        <w:rPr>
          <w:b/>
          <w:bCs/>
        </w:rPr>
        <w:br w:type="page"/>
      </w:r>
    </w:p>
    <w:p w14:paraId="00C65749" w14:textId="77777777" w:rsidR="00DB0776" w:rsidRPr="004A2923" w:rsidRDefault="00CE5994">
      <w:pPr>
        <w:rPr>
          <w:b/>
          <w:bCs/>
        </w:rPr>
      </w:pPr>
      <w:r w:rsidRPr="004A2923">
        <w:rPr>
          <w:b/>
          <w:bCs/>
        </w:rPr>
        <w:lastRenderedPageBreak/>
        <w:t>Bilješka br.</w:t>
      </w:r>
      <w:r w:rsidR="000B37E0">
        <w:rPr>
          <w:b/>
          <w:bCs/>
        </w:rPr>
        <w:t xml:space="preserve"> 9.</w:t>
      </w:r>
      <w:r w:rsidR="00C974F5" w:rsidRPr="004A2923">
        <w:rPr>
          <w:b/>
          <w:bCs/>
        </w:rPr>
        <w:t xml:space="preserve">  Rashodi </w:t>
      </w:r>
      <w:r w:rsidR="00FD1165">
        <w:rPr>
          <w:b/>
          <w:bCs/>
        </w:rPr>
        <w:t xml:space="preserve">poslovanja i rashodi </w:t>
      </w:r>
      <w:r w:rsidR="00374479">
        <w:rPr>
          <w:b/>
          <w:bCs/>
        </w:rPr>
        <w:t>zaposlenih</w:t>
      </w:r>
      <w:r w:rsidR="00C974F5" w:rsidRPr="004A2923">
        <w:rPr>
          <w:b/>
          <w:bCs/>
        </w:rPr>
        <w:t xml:space="preserve"> </w:t>
      </w:r>
      <w:r w:rsidR="000B37E0">
        <w:rPr>
          <w:b/>
          <w:bCs/>
        </w:rPr>
        <w:t>(u kn)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129"/>
        <w:gridCol w:w="3261"/>
        <w:gridCol w:w="1701"/>
        <w:gridCol w:w="1701"/>
        <w:gridCol w:w="1275"/>
      </w:tblGrid>
      <w:tr w:rsidR="00592474" w:rsidRPr="004A2923" w14:paraId="2B7C8BA9" w14:textId="77777777" w:rsidTr="00374479">
        <w:trPr>
          <w:trHeight w:val="480"/>
        </w:trPr>
        <w:tc>
          <w:tcPr>
            <w:tcW w:w="1129" w:type="dxa"/>
            <w:hideMark/>
          </w:tcPr>
          <w:p w14:paraId="540F3C26" w14:textId="77777777" w:rsidR="00592474" w:rsidRPr="004A2923" w:rsidRDefault="00592474" w:rsidP="00A32C47">
            <w:pPr>
              <w:jc w:val="center"/>
            </w:pPr>
            <w:bookmarkStart w:id="3" w:name="_Hlk30851498"/>
            <w:r w:rsidRPr="004A2923">
              <w:t>RAZRED</w:t>
            </w:r>
          </w:p>
        </w:tc>
        <w:tc>
          <w:tcPr>
            <w:tcW w:w="3261" w:type="dxa"/>
            <w:hideMark/>
          </w:tcPr>
          <w:p w14:paraId="67835339" w14:textId="77777777" w:rsidR="00592474" w:rsidRPr="004A2923" w:rsidRDefault="00592474" w:rsidP="00A32C47">
            <w:pPr>
              <w:jc w:val="center"/>
            </w:pPr>
            <w:r w:rsidRPr="004A2923">
              <w:t>NAZIV</w:t>
            </w:r>
          </w:p>
        </w:tc>
        <w:tc>
          <w:tcPr>
            <w:tcW w:w="1701" w:type="dxa"/>
            <w:noWrap/>
            <w:hideMark/>
          </w:tcPr>
          <w:p w14:paraId="341C99B5" w14:textId="77777777" w:rsidR="00592474" w:rsidRPr="004A2923" w:rsidRDefault="00592474" w:rsidP="00A32C47">
            <w:pPr>
              <w:jc w:val="center"/>
            </w:pPr>
            <w:r w:rsidRPr="004A2923">
              <w:t>2021</w:t>
            </w:r>
          </w:p>
        </w:tc>
        <w:tc>
          <w:tcPr>
            <w:tcW w:w="1701" w:type="dxa"/>
            <w:noWrap/>
            <w:hideMark/>
          </w:tcPr>
          <w:p w14:paraId="48419317" w14:textId="77777777" w:rsidR="00592474" w:rsidRPr="004A2923" w:rsidRDefault="00592474" w:rsidP="00A32C47">
            <w:pPr>
              <w:jc w:val="center"/>
            </w:pPr>
            <w:r w:rsidRPr="004A2923">
              <w:t>2022</w:t>
            </w:r>
          </w:p>
        </w:tc>
        <w:tc>
          <w:tcPr>
            <w:tcW w:w="1275" w:type="dxa"/>
            <w:noWrap/>
            <w:hideMark/>
          </w:tcPr>
          <w:p w14:paraId="16B4A722" w14:textId="77777777" w:rsidR="00592474" w:rsidRPr="004A2923" w:rsidRDefault="00592474" w:rsidP="00A32C47">
            <w:pPr>
              <w:jc w:val="center"/>
            </w:pPr>
            <w:r w:rsidRPr="004A2923">
              <w:t>INDEKS</w:t>
            </w:r>
          </w:p>
        </w:tc>
      </w:tr>
      <w:tr w:rsidR="00592474" w:rsidRPr="004A2923" w14:paraId="3CC061AB" w14:textId="77777777" w:rsidTr="00374479">
        <w:trPr>
          <w:trHeight w:val="402"/>
        </w:trPr>
        <w:tc>
          <w:tcPr>
            <w:tcW w:w="1129" w:type="dxa"/>
            <w:noWrap/>
            <w:hideMark/>
          </w:tcPr>
          <w:p w14:paraId="640690BC" w14:textId="77777777" w:rsidR="00592474" w:rsidRPr="004A2923" w:rsidRDefault="00592474" w:rsidP="00592474">
            <w:r w:rsidRPr="004A2923">
              <w:t>3</w:t>
            </w:r>
          </w:p>
        </w:tc>
        <w:tc>
          <w:tcPr>
            <w:tcW w:w="3261" w:type="dxa"/>
            <w:hideMark/>
          </w:tcPr>
          <w:p w14:paraId="6AEB5AEE" w14:textId="77777777" w:rsidR="00592474" w:rsidRPr="004A2923" w:rsidRDefault="00592474" w:rsidP="00592474">
            <w:r w:rsidRPr="004A2923">
              <w:t>Rashodi poslovanja</w:t>
            </w:r>
          </w:p>
        </w:tc>
        <w:tc>
          <w:tcPr>
            <w:tcW w:w="1701" w:type="dxa"/>
            <w:noWrap/>
            <w:hideMark/>
          </w:tcPr>
          <w:p w14:paraId="620C461C" w14:textId="77777777" w:rsidR="00592474" w:rsidRPr="004A2923" w:rsidRDefault="00592474" w:rsidP="000B37E0">
            <w:pPr>
              <w:jc w:val="right"/>
            </w:pPr>
            <w:r w:rsidRPr="004A2923">
              <w:t>100.190.181</w:t>
            </w:r>
            <w:r w:rsidR="00374479">
              <w:t>,00</w:t>
            </w:r>
          </w:p>
        </w:tc>
        <w:tc>
          <w:tcPr>
            <w:tcW w:w="1701" w:type="dxa"/>
            <w:noWrap/>
            <w:hideMark/>
          </w:tcPr>
          <w:p w14:paraId="0BEA7E83" w14:textId="77777777" w:rsidR="00592474" w:rsidRPr="004A2923" w:rsidRDefault="00592474" w:rsidP="000B37E0">
            <w:pPr>
              <w:jc w:val="right"/>
            </w:pPr>
            <w:r w:rsidRPr="004A2923">
              <w:t>124.147.394,03</w:t>
            </w:r>
          </w:p>
        </w:tc>
        <w:tc>
          <w:tcPr>
            <w:tcW w:w="1275" w:type="dxa"/>
            <w:noWrap/>
            <w:hideMark/>
          </w:tcPr>
          <w:p w14:paraId="3E040F01" w14:textId="77777777" w:rsidR="00592474" w:rsidRPr="004A2923" w:rsidRDefault="00B92E98" w:rsidP="00374479">
            <w:pPr>
              <w:jc w:val="center"/>
            </w:pPr>
            <w:r>
              <w:t>123,90</w:t>
            </w:r>
          </w:p>
        </w:tc>
      </w:tr>
      <w:bookmarkEnd w:id="3"/>
      <w:tr w:rsidR="00374479" w:rsidRPr="004A2923" w14:paraId="4144E42E" w14:textId="77777777" w:rsidTr="00374479">
        <w:trPr>
          <w:trHeight w:val="344"/>
        </w:trPr>
        <w:tc>
          <w:tcPr>
            <w:tcW w:w="1129" w:type="dxa"/>
            <w:noWrap/>
            <w:hideMark/>
          </w:tcPr>
          <w:p w14:paraId="3B6FC1D3" w14:textId="77777777" w:rsidR="00374479" w:rsidRPr="004A2923" w:rsidRDefault="00374479" w:rsidP="008C0F37">
            <w:r w:rsidRPr="004A2923">
              <w:t>31</w:t>
            </w:r>
          </w:p>
        </w:tc>
        <w:tc>
          <w:tcPr>
            <w:tcW w:w="3261" w:type="dxa"/>
            <w:hideMark/>
          </w:tcPr>
          <w:p w14:paraId="496B9A49" w14:textId="77777777" w:rsidR="00374479" w:rsidRPr="004A2923" w:rsidRDefault="00374479">
            <w:r w:rsidRPr="004A2923">
              <w:t>Rashodi za zaposlene</w:t>
            </w:r>
          </w:p>
        </w:tc>
        <w:tc>
          <w:tcPr>
            <w:tcW w:w="1701" w:type="dxa"/>
            <w:noWrap/>
            <w:hideMark/>
          </w:tcPr>
          <w:p w14:paraId="400ACC2B" w14:textId="77777777" w:rsidR="00374479" w:rsidRPr="004A2923" w:rsidRDefault="00374479" w:rsidP="00374479">
            <w:pPr>
              <w:jc w:val="right"/>
            </w:pPr>
            <w:r w:rsidRPr="004A2923">
              <w:t>73.343.456</w:t>
            </w:r>
            <w:r>
              <w:t>,00</w:t>
            </w:r>
          </w:p>
        </w:tc>
        <w:tc>
          <w:tcPr>
            <w:tcW w:w="1701" w:type="dxa"/>
            <w:noWrap/>
            <w:hideMark/>
          </w:tcPr>
          <w:p w14:paraId="79476BCE" w14:textId="77777777" w:rsidR="00374479" w:rsidRPr="004A2923" w:rsidRDefault="00374479" w:rsidP="00374479">
            <w:pPr>
              <w:jc w:val="right"/>
            </w:pPr>
            <w:r w:rsidRPr="004A2923">
              <w:t>80.025.468,83</w:t>
            </w:r>
          </w:p>
        </w:tc>
        <w:tc>
          <w:tcPr>
            <w:tcW w:w="1275" w:type="dxa"/>
            <w:noWrap/>
            <w:hideMark/>
          </w:tcPr>
          <w:p w14:paraId="43FFA40A" w14:textId="77777777" w:rsidR="00374479" w:rsidRPr="004A2923" w:rsidRDefault="00374479" w:rsidP="00374479">
            <w:pPr>
              <w:jc w:val="center"/>
            </w:pPr>
            <w:r w:rsidRPr="004A2923">
              <w:t>107,60</w:t>
            </w:r>
          </w:p>
        </w:tc>
      </w:tr>
      <w:tr w:rsidR="00374479" w:rsidRPr="004A2923" w14:paraId="3A5075E9" w14:textId="77777777" w:rsidTr="00374479">
        <w:trPr>
          <w:trHeight w:val="315"/>
        </w:trPr>
        <w:tc>
          <w:tcPr>
            <w:tcW w:w="1129" w:type="dxa"/>
            <w:noWrap/>
            <w:hideMark/>
          </w:tcPr>
          <w:p w14:paraId="0AF29CAB" w14:textId="77777777" w:rsidR="00374479" w:rsidRPr="004A2923" w:rsidRDefault="00374479" w:rsidP="008C0F37">
            <w:r w:rsidRPr="004A2923">
              <w:t>3113</w:t>
            </w:r>
          </w:p>
        </w:tc>
        <w:tc>
          <w:tcPr>
            <w:tcW w:w="3261" w:type="dxa"/>
            <w:hideMark/>
          </w:tcPr>
          <w:p w14:paraId="18710B70" w14:textId="77777777" w:rsidR="00374479" w:rsidRPr="004A2923" w:rsidRDefault="00374479">
            <w:r w:rsidRPr="004A2923">
              <w:t>Plaće za prekovremeni rad</w:t>
            </w:r>
          </w:p>
        </w:tc>
        <w:tc>
          <w:tcPr>
            <w:tcW w:w="1701" w:type="dxa"/>
            <w:noWrap/>
            <w:hideMark/>
          </w:tcPr>
          <w:p w14:paraId="43D08DD2" w14:textId="77777777" w:rsidR="00374479" w:rsidRPr="004A2923" w:rsidRDefault="00374479" w:rsidP="00374479">
            <w:pPr>
              <w:jc w:val="right"/>
            </w:pPr>
            <w:r w:rsidRPr="004A2923">
              <w:t>438.578</w:t>
            </w:r>
            <w:r>
              <w:t>,00</w:t>
            </w:r>
          </w:p>
        </w:tc>
        <w:tc>
          <w:tcPr>
            <w:tcW w:w="1701" w:type="dxa"/>
            <w:noWrap/>
            <w:hideMark/>
          </w:tcPr>
          <w:p w14:paraId="32DD8BBB" w14:textId="77777777" w:rsidR="00374479" w:rsidRPr="004A2923" w:rsidRDefault="00374479" w:rsidP="00374479">
            <w:pPr>
              <w:jc w:val="right"/>
            </w:pPr>
            <w:r w:rsidRPr="004A2923">
              <w:t>982.540,46</w:t>
            </w:r>
          </w:p>
        </w:tc>
        <w:tc>
          <w:tcPr>
            <w:tcW w:w="1275" w:type="dxa"/>
            <w:noWrap/>
            <w:hideMark/>
          </w:tcPr>
          <w:p w14:paraId="7846419F" w14:textId="77777777" w:rsidR="00374479" w:rsidRPr="004A2923" w:rsidRDefault="00374479" w:rsidP="00374479">
            <w:pPr>
              <w:jc w:val="center"/>
            </w:pPr>
            <w:r w:rsidRPr="004A2923">
              <w:t>224,00</w:t>
            </w:r>
          </w:p>
        </w:tc>
      </w:tr>
      <w:tr w:rsidR="00374479" w:rsidRPr="004A2923" w14:paraId="41898D78" w14:textId="77777777" w:rsidTr="00374479">
        <w:trPr>
          <w:trHeight w:val="315"/>
        </w:trPr>
        <w:tc>
          <w:tcPr>
            <w:tcW w:w="1129" w:type="dxa"/>
            <w:noWrap/>
          </w:tcPr>
          <w:p w14:paraId="3BC83CF1" w14:textId="77777777" w:rsidR="00374479" w:rsidRPr="004A2923" w:rsidRDefault="00374479" w:rsidP="008C0F37">
            <w:r w:rsidRPr="004A2923">
              <w:t>3114</w:t>
            </w:r>
          </w:p>
        </w:tc>
        <w:tc>
          <w:tcPr>
            <w:tcW w:w="3261" w:type="dxa"/>
          </w:tcPr>
          <w:p w14:paraId="0BD6C677" w14:textId="77777777" w:rsidR="00374479" w:rsidRPr="004A2923" w:rsidRDefault="00374479">
            <w:r w:rsidRPr="004A2923">
              <w:t>Plaće za posebne uvjete rada</w:t>
            </w:r>
          </w:p>
        </w:tc>
        <w:tc>
          <w:tcPr>
            <w:tcW w:w="1701" w:type="dxa"/>
            <w:noWrap/>
          </w:tcPr>
          <w:p w14:paraId="49887FB3" w14:textId="77777777" w:rsidR="00374479" w:rsidRPr="004A2923" w:rsidRDefault="00374479" w:rsidP="00374479">
            <w:pPr>
              <w:jc w:val="right"/>
            </w:pPr>
            <w:r w:rsidRPr="004A2923">
              <w:t>536.067</w:t>
            </w:r>
            <w:r>
              <w:t>,00</w:t>
            </w:r>
          </w:p>
        </w:tc>
        <w:tc>
          <w:tcPr>
            <w:tcW w:w="1701" w:type="dxa"/>
            <w:noWrap/>
          </w:tcPr>
          <w:p w14:paraId="1497BFE9" w14:textId="77777777" w:rsidR="00374479" w:rsidRPr="004A2923" w:rsidRDefault="00374479" w:rsidP="00374479">
            <w:pPr>
              <w:jc w:val="right"/>
            </w:pPr>
            <w:r w:rsidRPr="004A2923">
              <w:t>587.144,04</w:t>
            </w:r>
          </w:p>
        </w:tc>
        <w:tc>
          <w:tcPr>
            <w:tcW w:w="1275" w:type="dxa"/>
            <w:noWrap/>
          </w:tcPr>
          <w:p w14:paraId="1CAA04DF" w14:textId="77777777" w:rsidR="00374479" w:rsidRPr="004A2923" w:rsidRDefault="00374479" w:rsidP="00374479">
            <w:pPr>
              <w:jc w:val="center"/>
            </w:pPr>
            <w:r w:rsidRPr="004A2923">
              <w:t>109,50</w:t>
            </w:r>
          </w:p>
        </w:tc>
      </w:tr>
      <w:tr w:rsidR="00374479" w:rsidRPr="004A2923" w14:paraId="59CA9C1A" w14:textId="77777777" w:rsidTr="00374479">
        <w:trPr>
          <w:trHeight w:val="315"/>
        </w:trPr>
        <w:tc>
          <w:tcPr>
            <w:tcW w:w="1129" w:type="dxa"/>
            <w:noWrap/>
          </w:tcPr>
          <w:p w14:paraId="5504FFBF" w14:textId="77777777" w:rsidR="00374479" w:rsidRPr="004A2923" w:rsidRDefault="00374479" w:rsidP="008C0F37">
            <w:r w:rsidRPr="004A2923">
              <w:t>312</w:t>
            </w:r>
          </w:p>
        </w:tc>
        <w:tc>
          <w:tcPr>
            <w:tcW w:w="3261" w:type="dxa"/>
          </w:tcPr>
          <w:p w14:paraId="3BD42358" w14:textId="77777777" w:rsidR="00374479" w:rsidRPr="004A2923" w:rsidRDefault="00374479">
            <w:r w:rsidRPr="004A2923">
              <w:t xml:space="preserve">Ostali rashodi za zaposlene </w:t>
            </w:r>
          </w:p>
        </w:tc>
        <w:tc>
          <w:tcPr>
            <w:tcW w:w="1701" w:type="dxa"/>
            <w:noWrap/>
          </w:tcPr>
          <w:p w14:paraId="545CC275" w14:textId="77777777" w:rsidR="00374479" w:rsidRPr="004A2923" w:rsidRDefault="00374479" w:rsidP="00374479">
            <w:pPr>
              <w:jc w:val="right"/>
            </w:pPr>
            <w:r w:rsidRPr="004A2923">
              <w:t>2.396.883</w:t>
            </w:r>
            <w:r>
              <w:t>,00</w:t>
            </w:r>
          </w:p>
        </w:tc>
        <w:tc>
          <w:tcPr>
            <w:tcW w:w="1701" w:type="dxa"/>
            <w:noWrap/>
          </w:tcPr>
          <w:p w14:paraId="059CD408" w14:textId="77777777" w:rsidR="00374479" w:rsidRPr="004A2923" w:rsidRDefault="00374479" w:rsidP="00374479">
            <w:pPr>
              <w:jc w:val="right"/>
            </w:pPr>
            <w:r w:rsidRPr="004A2923">
              <w:t>4.851.468,79</w:t>
            </w:r>
          </w:p>
        </w:tc>
        <w:tc>
          <w:tcPr>
            <w:tcW w:w="1275" w:type="dxa"/>
            <w:noWrap/>
          </w:tcPr>
          <w:p w14:paraId="6C7EDBFE" w14:textId="77777777" w:rsidR="00374479" w:rsidRPr="004A2923" w:rsidRDefault="00374479" w:rsidP="00374479">
            <w:pPr>
              <w:jc w:val="center"/>
            </w:pPr>
            <w:r w:rsidRPr="004A2923">
              <w:t>202,40</w:t>
            </w:r>
          </w:p>
        </w:tc>
      </w:tr>
    </w:tbl>
    <w:p w14:paraId="4CD382F6" w14:textId="77777777" w:rsidR="003E5A65" w:rsidRDefault="003E5A65" w:rsidP="00374479">
      <w:pPr>
        <w:jc w:val="both"/>
      </w:pPr>
    </w:p>
    <w:p w14:paraId="6953F852" w14:textId="77777777" w:rsidR="00374479" w:rsidRPr="004A2923" w:rsidRDefault="00374479" w:rsidP="00374479">
      <w:pPr>
        <w:jc w:val="both"/>
      </w:pPr>
      <w:r w:rsidRPr="004A2923">
        <w:t xml:space="preserve">Ukupni rashodi poslovanja u 2022. godini su ostvareni u iznosu od 124.147.394,03 </w:t>
      </w:r>
      <w:r>
        <w:t xml:space="preserve">kn, </w:t>
      </w:r>
      <w:r w:rsidRPr="004A2923">
        <w:t xml:space="preserve">odnosno </w:t>
      </w:r>
      <w:r w:rsidR="00B92E98">
        <w:t>23,90</w:t>
      </w:r>
      <w:r w:rsidR="00B859F8">
        <w:t>%</w:t>
      </w:r>
      <w:r w:rsidRPr="004A2923">
        <w:t xml:space="preserve">  veći u odnosu na 2021.</w:t>
      </w:r>
      <w:r>
        <w:t xml:space="preserve"> godinu (3).</w:t>
      </w:r>
      <w:r w:rsidRPr="004A2923">
        <w:t xml:space="preserve"> </w:t>
      </w:r>
      <w:r>
        <w:t xml:space="preserve"> </w:t>
      </w:r>
    </w:p>
    <w:p w14:paraId="556A63A4" w14:textId="77777777" w:rsidR="0068703F" w:rsidRPr="004A2923" w:rsidRDefault="00CE5994" w:rsidP="00374479">
      <w:pPr>
        <w:jc w:val="both"/>
      </w:pPr>
      <w:r w:rsidRPr="004A2923">
        <w:t xml:space="preserve">Ukupni rashodi za zaposlene u </w:t>
      </w:r>
      <w:r w:rsidR="0068703F" w:rsidRPr="004A2923">
        <w:t>202</w:t>
      </w:r>
      <w:r w:rsidR="00592474" w:rsidRPr="004A2923">
        <w:t>2</w:t>
      </w:r>
      <w:r w:rsidR="0068703F" w:rsidRPr="004A2923">
        <w:t>.</w:t>
      </w:r>
      <w:r w:rsidRPr="004A2923">
        <w:t xml:space="preserve"> godini su ostvareni u iznosu od</w:t>
      </w:r>
      <w:r w:rsidR="00592474" w:rsidRPr="004A2923">
        <w:t xml:space="preserve">  80.025.468,83</w:t>
      </w:r>
      <w:r w:rsidRPr="004A2923">
        <w:t xml:space="preserve"> </w:t>
      </w:r>
      <w:r w:rsidR="00374479">
        <w:t xml:space="preserve">kn, </w:t>
      </w:r>
      <w:r w:rsidRPr="004A2923">
        <w:t xml:space="preserve">odnosno </w:t>
      </w:r>
      <w:r w:rsidR="004318A3" w:rsidRPr="004A2923">
        <w:t xml:space="preserve">za </w:t>
      </w:r>
      <w:r w:rsidR="00592474" w:rsidRPr="004A2923">
        <w:t>7,60</w:t>
      </w:r>
      <w:r w:rsidR="00B859F8">
        <w:t xml:space="preserve"> %</w:t>
      </w:r>
      <w:r w:rsidR="00592474" w:rsidRPr="004A2923">
        <w:t xml:space="preserve"> veći u odnosu na </w:t>
      </w:r>
      <w:r w:rsidRPr="004A2923">
        <w:t>20</w:t>
      </w:r>
      <w:r w:rsidR="0068703F" w:rsidRPr="004A2923">
        <w:t>2</w:t>
      </w:r>
      <w:r w:rsidR="00592474" w:rsidRPr="004A2923">
        <w:t>1</w:t>
      </w:r>
      <w:r w:rsidRPr="004A2923">
        <w:t>.</w:t>
      </w:r>
      <w:r w:rsidR="00592474" w:rsidRPr="004A2923">
        <w:t xml:space="preserve"> </w:t>
      </w:r>
      <w:r w:rsidR="00374479">
        <w:t xml:space="preserve">radi </w:t>
      </w:r>
      <w:r w:rsidR="00592474" w:rsidRPr="004A2923">
        <w:t xml:space="preserve">povećanja osnovice. </w:t>
      </w:r>
      <w:r w:rsidRPr="004A2923">
        <w:t xml:space="preserve"> </w:t>
      </w:r>
      <w:r w:rsidR="00374479">
        <w:t>Iznos p</w:t>
      </w:r>
      <w:r w:rsidR="0068703F" w:rsidRPr="004A2923">
        <w:t>lać</w:t>
      </w:r>
      <w:r w:rsidR="00374479">
        <w:t>a</w:t>
      </w:r>
      <w:r w:rsidR="0068703F" w:rsidRPr="004A2923">
        <w:t xml:space="preserve"> za prekovremeni rad </w:t>
      </w:r>
      <w:r w:rsidR="00374479">
        <w:t xml:space="preserve">povećan je značajno i to najviše iz razloga </w:t>
      </w:r>
      <w:r w:rsidR="0068703F" w:rsidRPr="004A2923">
        <w:t>nedov</w:t>
      </w:r>
      <w:r w:rsidR="00340D5F" w:rsidRPr="004A2923">
        <w:t>o</w:t>
      </w:r>
      <w:r w:rsidR="0068703F" w:rsidRPr="004A2923">
        <w:t>ljnog broja zaposlen</w:t>
      </w:r>
      <w:r w:rsidR="00374479">
        <w:t>ih</w:t>
      </w:r>
      <w:r w:rsidR="0068703F" w:rsidRPr="004A2923">
        <w:t xml:space="preserve"> u </w:t>
      </w:r>
      <w:r w:rsidR="00374479">
        <w:t>više službi (posebice u službi tehnike), te zbog većeg broja bolovanja.</w:t>
      </w:r>
    </w:p>
    <w:p w14:paraId="6D7D5C19" w14:textId="77777777" w:rsidR="00CE5994" w:rsidRDefault="0068703F" w:rsidP="00374479">
      <w:pPr>
        <w:jc w:val="both"/>
      </w:pPr>
      <w:r w:rsidRPr="004A2923">
        <w:t xml:space="preserve">Plaće za posebne uvjete rada su povećane za </w:t>
      </w:r>
      <w:r w:rsidR="0030162E" w:rsidRPr="004A2923">
        <w:t>9,50</w:t>
      </w:r>
      <w:r w:rsidRPr="004A2923">
        <w:t xml:space="preserve"> </w:t>
      </w:r>
      <w:r w:rsidR="00B859F8">
        <w:t xml:space="preserve"> %</w:t>
      </w:r>
      <w:r w:rsidRPr="004A2923">
        <w:t xml:space="preserve"> zbog izm</w:t>
      </w:r>
      <w:r w:rsidR="00EE46F3" w:rsidRPr="004A2923">
        <w:t>i</w:t>
      </w:r>
      <w:r w:rsidRPr="004A2923">
        <w:t>jenjenih radnih mjesta s posebnim uvjetima rada i rada cijele godine</w:t>
      </w:r>
      <w:r w:rsidR="00374479">
        <w:t>, dok je stavka o</w:t>
      </w:r>
      <w:r w:rsidR="00CE5994" w:rsidRPr="004A2923">
        <w:t>stali</w:t>
      </w:r>
      <w:r w:rsidR="00374479">
        <w:t>h</w:t>
      </w:r>
      <w:r w:rsidR="00CE5994" w:rsidRPr="004A2923">
        <w:t xml:space="preserve"> rashodi za zaposlene</w:t>
      </w:r>
      <w:r w:rsidR="00374479">
        <w:t xml:space="preserve"> (312)</w:t>
      </w:r>
      <w:r w:rsidR="00CE5994" w:rsidRPr="004A2923">
        <w:t xml:space="preserve"> u 20</w:t>
      </w:r>
      <w:r w:rsidR="001F4B47" w:rsidRPr="004A2923">
        <w:t>2</w:t>
      </w:r>
      <w:r w:rsidR="0030162E" w:rsidRPr="004A2923">
        <w:t>2</w:t>
      </w:r>
      <w:r w:rsidR="00CE5994" w:rsidRPr="004A2923">
        <w:t xml:space="preserve">. godini </w:t>
      </w:r>
      <w:r w:rsidR="0030162E" w:rsidRPr="004A2923">
        <w:t>povećan</w:t>
      </w:r>
      <w:r w:rsidR="00374479">
        <w:t xml:space="preserve">a zbog </w:t>
      </w:r>
      <w:r w:rsidR="00CE5994" w:rsidRPr="004A2923">
        <w:t>isplaćeni</w:t>
      </w:r>
      <w:r w:rsidR="00374479">
        <w:t>h</w:t>
      </w:r>
      <w:r w:rsidR="00CE5994" w:rsidRPr="004A2923">
        <w:t xml:space="preserve"> bonus</w:t>
      </w:r>
      <w:r w:rsidR="00374479">
        <w:t>a</w:t>
      </w:r>
      <w:r w:rsidR="00CE5994" w:rsidRPr="004A2923">
        <w:t xml:space="preserve"> za uspješnost iz vlastitih sredstava</w:t>
      </w:r>
      <w:r w:rsidR="0030162E" w:rsidRPr="004A2923">
        <w:t>.</w:t>
      </w:r>
    </w:p>
    <w:p w14:paraId="7D431CE5" w14:textId="77777777" w:rsidR="00374479" w:rsidRPr="004A2923" w:rsidRDefault="00374479" w:rsidP="00374479">
      <w:pPr>
        <w:jc w:val="both"/>
      </w:pPr>
    </w:p>
    <w:p w14:paraId="12B87A1A" w14:textId="77777777" w:rsidR="00374479" w:rsidRPr="004A2923" w:rsidRDefault="00374479" w:rsidP="00374479">
      <w:pPr>
        <w:rPr>
          <w:b/>
          <w:bCs/>
        </w:rPr>
      </w:pPr>
      <w:r w:rsidRPr="004A2923">
        <w:rPr>
          <w:b/>
          <w:bCs/>
        </w:rPr>
        <w:t>Bilješka br.</w:t>
      </w:r>
      <w:r>
        <w:rPr>
          <w:b/>
          <w:bCs/>
        </w:rPr>
        <w:t xml:space="preserve"> 10.</w:t>
      </w:r>
      <w:r w:rsidRPr="004A2923">
        <w:rPr>
          <w:b/>
          <w:bCs/>
        </w:rPr>
        <w:t xml:space="preserve">  </w:t>
      </w:r>
      <w:r>
        <w:rPr>
          <w:b/>
          <w:bCs/>
        </w:rPr>
        <w:t>Materijalni rashodi</w:t>
      </w:r>
      <w:r w:rsidRPr="004A2923">
        <w:rPr>
          <w:b/>
          <w:bCs/>
        </w:rPr>
        <w:t xml:space="preserve"> </w:t>
      </w:r>
      <w:r>
        <w:rPr>
          <w:b/>
          <w:bCs/>
        </w:rPr>
        <w:t>(u kn)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129"/>
        <w:gridCol w:w="3261"/>
        <w:gridCol w:w="1701"/>
        <w:gridCol w:w="1701"/>
        <w:gridCol w:w="1275"/>
      </w:tblGrid>
      <w:tr w:rsidR="00374479" w:rsidRPr="004A2923" w14:paraId="28079339" w14:textId="77777777" w:rsidTr="00374479">
        <w:trPr>
          <w:trHeight w:val="370"/>
        </w:trPr>
        <w:tc>
          <w:tcPr>
            <w:tcW w:w="1129" w:type="dxa"/>
            <w:hideMark/>
          </w:tcPr>
          <w:p w14:paraId="4A30E321" w14:textId="77777777" w:rsidR="00374479" w:rsidRPr="004A2923" w:rsidRDefault="00374479" w:rsidP="00A32C47">
            <w:pPr>
              <w:jc w:val="center"/>
            </w:pPr>
            <w:r w:rsidRPr="004A2923">
              <w:t>RAZRED</w:t>
            </w:r>
          </w:p>
        </w:tc>
        <w:tc>
          <w:tcPr>
            <w:tcW w:w="3261" w:type="dxa"/>
            <w:hideMark/>
          </w:tcPr>
          <w:p w14:paraId="50863EDB" w14:textId="77777777" w:rsidR="00374479" w:rsidRPr="004A2923" w:rsidRDefault="00374479" w:rsidP="00A32C47">
            <w:pPr>
              <w:jc w:val="center"/>
            </w:pPr>
            <w:r w:rsidRPr="004A2923">
              <w:t>NAZIV</w:t>
            </w:r>
          </w:p>
        </w:tc>
        <w:tc>
          <w:tcPr>
            <w:tcW w:w="1701" w:type="dxa"/>
            <w:noWrap/>
            <w:hideMark/>
          </w:tcPr>
          <w:p w14:paraId="4926378B" w14:textId="77777777" w:rsidR="00374479" w:rsidRPr="004A2923" w:rsidRDefault="00374479" w:rsidP="00A32C47">
            <w:pPr>
              <w:jc w:val="center"/>
            </w:pPr>
            <w:r w:rsidRPr="004A2923">
              <w:t>2021</w:t>
            </w:r>
          </w:p>
        </w:tc>
        <w:tc>
          <w:tcPr>
            <w:tcW w:w="1701" w:type="dxa"/>
            <w:noWrap/>
            <w:hideMark/>
          </w:tcPr>
          <w:p w14:paraId="5A2D9D1F" w14:textId="77777777" w:rsidR="00374479" w:rsidRPr="004A2923" w:rsidRDefault="00374479" w:rsidP="00A32C47">
            <w:pPr>
              <w:jc w:val="center"/>
            </w:pPr>
            <w:r w:rsidRPr="004A2923">
              <w:t>2022</w:t>
            </w:r>
          </w:p>
        </w:tc>
        <w:tc>
          <w:tcPr>
            <w:tcW w:w="1275" w:type="dxa"/>
            <w:noWrap/>
            <w:hideMark/>
          </w:tcPr>
          <w:p w14:paraId="22F18EFF" w14:textId="77777777" w:rsidR="00374479" w:rsidRPr="004A2923" w:rsidRDefault="00374479" w:rsidP="00A32C47">
            <w:pPr>
              <w:jc w:val="center"/>
            </w:pPr>
            <w:r w:rsidRPr="004A2923">
              <w:t>INDEKS</w:t>
            </w:r>
          </w:p>
        </w:tc>
      </w:tr>
      <w:tr w:rsidR="00374479" w:rsidRPr="004A2923" w14:paraId="71628276" w14:textId="77777777" w:rsidTr="00374479">
        <w:trPr>
          <w:trHeight w:val="418"/>
        </w:trPr>
        <w:tc>
          <w:tcPr>
            <w:tcW w:w="1129" w:type="dxa"/>
            <w:noWrap/>
            <w:hideMark/>
          </w:tcPr>
          <w:p w14:paraId="45A7A93B" w14:textId="77777777" w:rsidR="00374479" w:rsidRPr="004A2923" w:rsidRDefault="00374479" w:rsidP="008C0F37">
            <w:r w:rsidRPr="004A2923">
              <w:t>32</w:t>
            </w:r>
          </w:p>
        </w:tc>
        <w:tc>
          <w:tcPr>
            <w:tcW w:w="3261" w:type="dxa"/>
            <w:hideMark/>
          </w:tcPr>
          <w:p w14:paraId="4C1406C3" w14:textId="77777777" w:rsidR="00374479" w:rsidRPr="004A2923" w:rsidRDefault="00374479">
            <w:r w:rsidRPr="004A2923">
              <w:t>Materijalni rashodi</w:t>
            </w:r>
          </w:p>
        </w:tc>
        <w:tc>
          <w:tcPr>
            <w:tcW w:w="1701" w:type="dxa"/>
            <w:noWrap/>
            <w:hideMark/>
          </w:tcPr>
          <w:p w14:paraId="375447DF" w14:textId="77777777" w:rsidR="00374479" w:rsidRPr="004A2923" w:rsidRDefault="00374479" w:rsidP="00374479">
            <w:pPr>
              <w:jc w:val="right"/>
            </w:pPr>
            <w:r w:rsidRPr="004A2923">
              <w:t>25.509.276</w:t>
            </w:r>
            <w:r>
              <w:t>,00</w:t>
            </w:r>
          </w:p>
        </w:tc>
        <w:tc>
          <w:tcPr>
            <w:tcW w:w="1701" w:type="dxa"/>
            <w:noWrap/>
            <w:hideMark/>
          </w:tcPr>
          <w:p w14:paraId="37561878" w14:textId="77777777" w:rsidR="00374479" w:rsidRPr="004A2923" w:rsidRDefault="00374479" w:rsidP="00374479">
            <w:pPr>
              <w:jc w:val="right"/>
            </w:pPr>
            <w:r w:rsidRPr="004A2923">
              <w:t>42.813.326,15</w:t>
            </w:r>
          </w:p>
        </w:tc>
        <w:tc>
          <w:tcPr>
            <w:tcW w:w="1275" w:type="dxa"/>
            <w:noWrap/>
            <w:hideMark/>
          </w:tcPr>
          <w:p w14:paraId="7CF580FE" w14:textId="77777777" w:rsidR="00374479" w:rsidRPr="004A2923" w:rsidRDefault="00374479" w:rsidP="00374479">
            <w:pPr>
              <w:jc w:val="center"/>
            </w:pPr>
            <w:r w:rsidRPr="004A2923">
              <w:t>167,80</w:t>
            </w:r>
          </w:p>
        </w:tc>
      </w:tr>
    </w:tbl>
    <w:p w14:paraId="6B33E22C" w14:textId="77777777" w:rsidR="008C0F37" w:rsidRPr="004A2923" w:rsidRDefault="008C0F37" w:rsidP="00DB0776"/>
    <w:p w14:paraId="4078B52F" w14:textId="77777777" w:rsidR="008A6366" w:rsidRPr="004A2923" w:rsidRDefault="008C0F37" w:rsidP="007C192A">
      <w:pPr>
        <w:jc w:val="both"/>
      </w:pPr>
      <w:r w:rsidRPr="004A2923">
        <w:t>Materijalni rashodi u 20</w:t>
      </w:r>
      <w:r w:rsidR="00502B68" w:rsidRPr="004A2923">
        <w:t>2</w:t>
      </w:r>
      <w:r w:rsidR="0030162E" w:rsidRPr="004A2923">
        <w:t>2</w:t>
      </w:r>
      <w:r w:rsidRPr="004A2923">
        <w:t xml:space="preserve">. godini su ostvareni u iznosu od </w:t>
      </w:r>
      <w:r w:rsidR="0030162E" w:rsidRPr="004A2923">
        <w:t>42.813.326,15</w:t>
      </w:r>
      <w:r w:rsidR="00502B68" w:rsidRPr="004A2923">
        <w:t xml:space="preserve"> </w:t>
      </w:r>
      <w:r w:rsidR="00374479">
        <w:t>kn</w:t>
      </w:r>
      <w:r w:rsidRPr="004A2923">
        <w:t xml:space="preserve"> </w:t>
      </w:r>
      <w:r w:rsidR="003750B0" w:rsidRPr="004A2923">
        <w:t xml:space="preserve">što je </w:t>
      </w:r>
      <w:r w:rsidR="0030162E" w:rsidRPr="004A2923">
        <w:t>67,80</w:t>
      </w:r>
      <w:r w:rsidR="00502B68" w:rsidRPr="004A2923">
        <w:t xml:space="preserve"> </w:t>
      </w:r>
      <w:r w:rsidR="00B859F8">
        <w:t>%</w:t>
      </w:r>
      <w:r w:rsidR="003750B0" w:rsidRPr="004A2923">
        <w:t xml:space="preserve">  </w:t>
      </w:r>
      <w:r w:rsidR="008A6366" w:rsidRPr="004A2923">
        <w:t xml:space="preserve">više </w:t>
      </w:r>
      <w:r w:rsidR="003750B0" w:rsidRPr="004A2923">
        <w:t xml:space="preserve"> u </w:t>
      </w:r>
      <w:r w:rsidRPr="004A2923">
        <w:t>odnosu na 20</w:t>
      </w:r>
      <w:r w:rsidR="008A6366" w:rsidRPr="004A2923">
        <w:t>2</w:t>
      </w:r>
      <w:r w:rsidR="0030162E" w:rsidRPr="004A2923">
        <w:t>1</w:t>
      </w:r>
      <w:r w:rsidR="00C74284" w:rsidRPr="004A2923">
        <w:t xml:space="preserve">. </w:t>
      </w:r>
      <w:r w:rsidR="007C192A">
        <w:t xml:space="preserve">Na </w:t>
      </w:r>
      <w:r w:rsidR="0030162E" w:rsidRPr="004A2923">
        <w:t>povećanj</w:t>
      </w:r>
      <w:r w:rsidR="007C192A">
        <w:t xml:space="preserve">e troškova najviše su utjecale nabavne </w:t>
      </w:r>
      <w:r w:rsidR="0030162E" w:rsidRPr="004A2923">
        <w:t>cijene materijala koji nam je trebao za program koji se izvodio</w:t>
      </w:r>
      <w:r w:rsidR="008A6366" w:rsidRPr="004A2923">
        <w:t xml:space="preserve"> cijelu godinu</w:t>
      </w:r>
      <w:r w:rsidR="007C192A">
        <w:t>, a sve nažalost radi poremećaja na tržištu</w:t>
      </w:r>
      <w:r w:rsidR="008A6366" w:rsidRPr="004A2923">
        <w:t>.</w:t>
      </w:r>
    </w:p>
    <w:p w14:paraId="71CBA802" w14:textId="77777777" w:rsidR="008C0F37" w:rsidRPr="004A2923" w:rsidRDefault="00D70123" w:rsidP="00DB0776">
      <w:r w:rsidRPr="004A2923">
        <w:t>Prikaz promjena strukture materijalnih rashoda:</w:t>
      </w:r>
    </w:p>
    <w:p w14:paraId="2CF9500F" w14:textId="77777777" w:rsidR="001A472D" w:rsidRPr="004A2923" w:rsidRDefault="0030162E" w:rsidP="007C192A">
      <w:pPr>
        <w:jc w:val="both"/>
      </w:pPr>
      <w:r w:rsidRPr="004A2923">
        <w:t>Povećan je broj službenih putovanja zbog smirivanja pand</w:t>
      </w:r>
      <w:r w:rsidR="001A472D" w:rsidRPr="004A2923">
        <w:t>e</w:t>
      </w:r>
      <w:r w:rsidRPr="004A2923">
        <w:t xml:space="preserve">mije što je dovelo do povećanja rashoda u iznosu od </w:t>
      </w:r>
      <w:r w:rsidR="007C192A">
        <w:t xml:space="preserve">663.145,17 kn, točnije </w:t>
      </w:r>
      <w:r w:rsidR="001A472D" w:rsidRPr="004A2923">
        <w:t>46,90</w:t>
      </w:r>
      <w:r w:rsidR="00B859F8">
        <w:t xml:space="preserve"> %</w:t>
      </w:r>
      <w:r w:rsidR="007C192A">
        <w:t xml:space="preserve">. Iz istog razloga povećani su i troškovi edukacija za </w:t>
      </w:r>
      <w:r w:rsidR="001A472D" w:rsidRPr="004A2923">
        <w:t>48,40</w:t>
      </w:r>
      <w:r w:rsidR="00B859F8">
        <w:t xml:space="preserve"> %</w:t>
      </w:r>
      <w:r w:rsidR="001A472D" w:rsidRPr="004A2923">
        <w:t xml:space="preserve"> </w:t>
      </w:r>
      <w:r w:rsidR="007C192A">
        <w:t>(trošak u 2022. godini iznosi</w:t>
      </w:r>
      <w:r w:rsidR="001A472D" w:rsidRPr="004A2923">
        <w:t xml:space="preserve"> 51.945,34</w:t>
      </w:r>
      <w:r w:rsidR="007C192A">
        <w:t xml:space="preserve"> kn)</w:t>
      </w:r>
      <w:r w:rsidR="001A472D" w:rsidRPr="004A2923">
        <w:t xml:space="preserve">. </w:t>
      </w:r>
    </w:p>
    <w:p w14:paraId="738128B0" w14:textId="77777777" w:rsidR="001A472D" w:rsidRPr="004A2923" w:rsidRDefault="00B859F8" w:rsidP="00B859F8">
      <w:pPr>
        <w:jc w:val="both"/>
      </w:pPr>
      <w:r w:rsidRPr="00B859F8">
        <w:t>Troškovi u</w:t>
      </w:r>
      <w:r w:rsidR="001A472D" w:rsidRPr="00B859F8">
        <w:t>redsk</w:t>
      </w:r>
      <w:r w:rsidRPr="00B859F8">
        <w:t>og</w:t>
      </w:r>
      <w:r w:rsidR="001A472D" w:rsidRPr="00B859F8">
        <w:t xml:space="preserve"> materijal</w:t>
      </w:r>
      <w:r w:rsidRPr="00B859F8">
        <w:t xml:space="preserve">a povećani su za </w:t>
      </w:r>
      <w:r w:rsidR="001A472D" w:rsidRPr="00B859F8">
        <w:t>30</w:t>
      </w:r>
      <w:r>
        <w:t xml:space="preserve"> %</w:t>
      </w:r>
      <w:r w:rsidR="001A472D" w:rsidRPr="00B859F8">
        <w:t xml:space="preserve"> zbog povećanja cijena nabave uredskog materijala, </w:t>
      </w:r>
      <w:r w:rsidRPr="00B859F8">
        <w:t xml:space="preserve">te isti </w:t>
      </w:r>
      <w:r w:rsidR="001A472D" w:rsidRPr="00B859F8">
        <w:t>iznos</w:t>
      </w:r>
      <w:r w:rsidRPr="00B859F8">
        <w:t>e</w:t>
      </w:r>
      <w:r w:rsidR="001A472D" w:rsidRPr="00B859F8">
        <w:t xml:space="preserve"> 477.390,09</w:t>
      </w:r>
      <w:r w:rsidRPr="00B859F8">
        <w:t xml:space="preserve"> kn. Troškovi m</w:t>
      </w:r>
      <w:r w:rsidR="001A472D" w:rsidRPr="00B859F8">
        <w:t>aterijal</w:t>
      </w:r>
      <w:r w:rsidRPr="00B859F8">
        <w:t>a</w:t>
      </w:r>
      <w:r w:rsidR="001A472D" w:rsidRPr="00B859F8">
        <w:t xml:space="preserve"> i sirovin</w:t>
      </w:r>
      <w:r w:rsidRPr="00B859F8">
        <w:t>a</w:t>
      </w:r>
      <w:r w:rsidR="001A472D" w:rsidRPr="00B859F8">
        <w:t xml:space="preserve"> iznose 5.092.138,16</w:t>
      </w:r>
      <w:r w:rsidRPr="00B859F8">
        <w:t xml:space="preserve"> kn</w:t>
      </w:r>
      <w:r w:rsidR="001A472D" w:rsidRPr="00B859F8">
        <w:t xml:space="preserve"> što je za 80</w:t>
      </w:r>
      <w:r w:rsidRPr="00B859F8">
        <w:t xml:space="preserve"> </w:t>
      </w:r>
      <w:r>
        <w:t>%</w:t>
      </w:r>
      <w:r w:rsidR="001A472D" w:rsidRPr="00B859F8">
        <w:t xml:space="preserve"> više nego prethodne godine</w:t>
      </w:r>
      <w:r w:rsidRPr="00B859F8">
        <w:t xml:space="preserve">, radi </w:t>
      </w:r>
      <w:r w:rsidR="001A472D" w:rsidRPr="00B859F8">
        <w:t xml:space="preserve">povećanog obujma rada </w:t>
      </w:r>
      <w:r w:rsidRPr="00B859F8">
        <w:t>te</w:t>
      </w:r>
      <w:r w:rsidR="001A472D" w:rsidRPr="00B859F8">
        <w:t xml:space="preserve"> povećan</w:t>
      </w:r>
      <w:r w:rsidRPr="00B859F8">
        <w:t xml:space="preserve">ih troškova </w:t>
      </w:r>
      <w:r w:rsidR="001A472D" w:rsidRPr="00B859F8">
        <w:t>u nabavi.</w:t>
      </w:r>
      <w:r w:rsidR="001A472D" w:rsidRPr="004A2923">
        <w:t xml:space="preserve"> </w:t>
      </w:r>
    </w:p>
    <w:p w14:paraId="3D02CE97" w14:textId="77777777" w:rsidR="007C5DCA" w:rsidRDefault="00B859F8" w:rsidP="00DB0776">
      <w:r w:rsidRPr="007C5DCA">
        <w:t>Indeks porasta troškova energije iznosi 204,7 (</w:t>
      </w:r>
      <w:r w:rsidR="001A472D" w:rsidRPr="007C5DCA">
        <w:t>2.</w:t>
      </w:r>
      <w:r w:rsidR="001A472D" w:rsidRPr="004A2923">
        <w:t xml:space="preserve">971.971,24 </w:t>
      </w:r>
      <w:r>
        <w:t>kn), što je značajan porast u odnosu na isto razdoblje 2021. jednim dijelom radi</w:t>
      </w:r>
      <w:r w:rsidR="007C5DCA">
        <w:t xml:space="preserve"> povećanog obima provođenja programa, a drugim dijelom zbog značajnog poskupljenja troškova energenata tijekom 2022. godine. </w:t>
      </w:r>
    </w:p>
    <w:p w14:paraId="2FBC4B00" w14:textId="77777777" w:rsidR="00EE5576" w:rsidRPr="004A2923" w:rsidRDefault="007C5DCA" w:rsidP="007C5DCA">
      <w:pPr>
        <w:jc w:val="both"/>
      </w:pPr>
      <w:r>
        <w:t>Troškovi n</w:t>
      </w:r>
      <w:r w:rsidR="00EE5576" w:rsidRPr="004A2923">
        <w:t>aknad</w:t>
      </w:r>
      <w:r>
        <w:t>a</w:t>
      </w:r>
      <w:r w:rsidR="00EE5576" w:rsidRPr="004A2923">
        <w:t xml:space="preserve"> za prijevoz u 202</w:t>
      </w:r>
      <w:r w:rsidR="001A472D" w:rsidRPr="004A2923">
        <w:t>2</w:t>
      </w:r>
      <w:r w:rsidR="00EE5576" w:rsidRPr="004A2923">
        <w:t xml:space="preserve">. godini su ostvareni u iznosu od </w:t>
      </w:r>
      <w:r w:rsidR="001A472D" w:rsidRPr="004A2923">
        <w:t>1.896.153,22</w:t>
      </w:r>
      <w:r w:rsidR="00EE5576" w:rsidRPr="004A2923">
        <w:t xml:space="preserve"> </w:t>
      </w:r>
      <w:r>
        <w:t xml:space="preserve">kn </w:t>
      </w:r>
      <w:r w:rsidR="00EE5576" w:rsidRPr="004A2923">
        <w:t>što je</w:t>
      </w:r>
      <w:r>
        <w:t xml:space="preserve"> u odnosu na 2021. godinu povećanje za </w:t>
      </w:r>
      <w:r w:rsidR="001A472D" w:rsidRPr="004A2923">
        <w:t>8,40</w:t>
      </w:r>
      <w:r w:rsidR="00EE5576" w:rsidRPr="004A2923">
        <w:t xml:space="preserve"> </w:t>
      </w:r>
      <w:r w:rsidR="00B859F8">
        <w:t>%</w:t>
      </w:r>
      <w:r>
        <w:t>, najviše zbog rada od kuće tijekom 2021. godine zbog uvjeta pandemije</w:t>
      </w:r>
      <w:r w:rsidR="00EE5576" w:rsidRPr="004A2923">
        <w:t>.</w:t>
      </w:r>
    </w:p>
    <w:p w14:paraId="6596182A" w14:textId="77777777" w:rsidR="008A6A46" w:rsidRPr="004A2923" w:rsidRDefault="000A7485" w:rsidP="007C5DCA">
      <w:pPr>
        <w:jc w:val="both"/>
      </w:pPr>
      <w:r w:rsidRPr="007C5DCA">
        <w:lastRenderedPageBreak/>
        <w:t>R</w:t>
      </w:r>
      <w:r w:rsidR="00F24B03" w:rsidRPr="007C5DCA">
        <w:t xml:space="preserve">ashodi za </w:t>
      </w:r>
      <w:r w:rsidR="008A6A46" w:rsidRPr="007C5DCA">
        <w:t xml:space="preserve">stručno usavršavanje zaposlenika </w:t>
      </w:r>
      <w:r w:rsidR="007C5DCA" w:rsidRPr="007C5DCA">
        <w:t>(</w:t>
      </w:r>
      <w:r w:rsidRPr="007C5DCA">
        <w:t>51.945,34</w:t>
      </w:r>
      <w:r w:rsidR="00816AD6" w:rsidRPr="007C5DCA">
        <w:t xml:space="preserve"> </w:t>
      </w:r>
      <w:r w:rsidR="007C5DCA" w:rsidRPr="007C5DCA">
        <w:t xml:space="preserve">kn) veći za </w:t>
      </w:r>
      <w:r w:rsidRPr="007C5DCA">
        <w:t>48,40</w:t>
      </w:r>
      <w:r w:rsidR="00B859F8" w:rsidRPr="007C5DCA">
        <w:t xml:space="preserve"> %</w:t>
      </w:r>
      <w:r w:rsidR="003750B0" w:rsidRPr="007C5DCA">
        <w:t xml:space="preserve"> u odnosu na 20</w:t>
      </w:r>
      <w:r w:rsidR="00C74284" w:rsidRPr="007C5DCA">
        <w:t>2</w:t>
      </w:r>
      <w:r w:rsidRPr="007C5DCA">
        <w:t>1</w:t>
      </w:r>
      <w:r w:rsidR="003750B0" w:rsidRPr="007C5DCA">
        <w:t xml:space="preserve">. </w:t>
      </w:r>
      <w:r w:rsidR="007C5DCA" w:rsidRPr="007C5DCA">
        <w:t>g</w:t>
      </w:r>
      <w:r w:rsidR="003750B0" w:rsidRPr="007C5DCA">
        <w:t xml:space="preserve">odinu </w:t>
      </w:r>
      <w:r w:rsidR="007C5DCA" w:rsidRPr="007C5DCA">
        <w:t xml:space="preserve">temeljem podmirenih troškova </w:t>
      </w:r>
      <w:r w:rsidR="00F37CDF" w:rsidRPr="007C5DCA">
        <w:t>školarine za osposoblj</w:t>
      </w:r>
      <w:r w:rsidR="008245BD" w:rsidRPr="007C5DCA">
        <w:t>a</w:t>
      </w:r>
      <w:r w:rsidR="00F37CDF" w:rsidRPr="007C5DCA">
        <w:t>vanje zaposlenika</w:t>
      </w:r>
      <w:r w:rsidR="007C5DCA" w:rsidRPr="007C5DCA">
        <w:t>,</w:t>
      </w:r>
      <w:r w:rsidR="00F37CDF" w:rsidRPr="007C5DCA">
        <w:t xml:space="preserve"> sukladno potpisanom</w:t>
      </w:r>
      <w:r w:rsidR="00F37CDF" w:rsidRPr="004A2923">
        <w:t xml:space="preserve"> ugovoru o školovanju. </w:t>
      </w:r>
    </w:p>
    <w:p w14:paraId="4A29E2F1" w14:textId="77777777" w:rsidR="00462D28" w:rsidRPr="00675585" w:rsidRDefault="000A7485" w:rsidP="007C5DCA">
      <w:pPr>
        <w:jc w:val="both"/>
      </w:pPr>
      <w:r w:rsidRPr="004A2923">
        <w:t>R</w:t>
      </w:r>
      <w:r w:rsidR="00F24B03" w:rsidRPr="004A2923">
        <w:t xml:space="preserve">ashodi za </w:t>
      </w:r>
      <w:r w:rsidR="008A6A46" w:rsidRPr="004A2923">
        <w:t xml:space="preserve"> materijal i dijelovi za tekuće i investic</w:t>
      </w:r>
      <w:r w:rsidR="005255B8" w:rsidRPr="004A2923">
        <w:t>i</w:t>
      </w:r>
      <w:r w:rsidR="008A6A46" w:rsidRPr="004A2923">
        <w:t xml:space="preserve">jsko održavanje </w:t>
      </w:r>
      <w:r w:rsidR="007C5DCA">
        <w:t>(</w:t>
      </w:r>
      <w:r w:rsidRPr="004A2923">
        <w:t>1.077.282,86</w:t>
      </w:r>
      <w:r w:rsidR="00A96155" w:rsidRPr="004A2923">
        <w:t xml:space="preserve"> </w:t>
      </w:r>
      <w:r w:rsidR="007C5DCA">
        <w:t>kn)</w:t>
      </w:r>
      <w:r w:rsidR="00462D28" w:rsidRPr="004A2923">
        <w:t xml:space="preserve"> </w:t>
      </w:r>
      <w:r w:rsidR="008A6A46" w:rsidRPr="004A2923">
        <w:t xml:space="preserve"> u 20</w:t>
      </w:r>
      <w:r w:rsidR="00462D28" w:rsidRPr="004A2923">
        <w:t>2</w:t>
      </w:r>
      <w:r w:rsidRPr="004A2923">
        <w:t>2</w:t>
      </w:r>
      <w:r w:rsidR="008A6A46" w:rsidRPr="004A2923">
        <w:t xml:space="preserve">. godini </w:t>
      </w:r>
      <w:r w:rsidR="00F24B03" w:rsidRPr="004A2923">
        <w:t xml:space="preserve">su </w:t>
      </w:r>
      <w:r w:rsidR="00EA649C" w:rsidRPr="004A2923">
        <w:t>veći</w:t>
      </w:r>
      <w:r w:rsidR="00F24B03" w:rsidRPr="004A2923">
        <w:t xml:space="preserve"> za </w:t>
      </w:r>
      <w:r w:rsidRPr="004A2923">
        <w:t>62,10</w:t>
      </w:r>
      <w:r w:rsidR="00A96155" w:rsidRPr="004A2923">
        <w:t xml:space="preserve"> </w:t>
      </w:r>
      <w:r w:rsidR="00B859F8">
        <w:t xml:space="preserve"> %</w:t>
      </w:r>
      <w:r w:rsidR="00786E3D" w:rsidRPr="004A2923">
        <w:t xml:space="preserve"> </w:t>
      </w:r>
      <w:r w:rsidR="008A6A46" w:rsidRPr="004A2923">
        <w:t>u odnosu na 20</w:t>
      </w:r>
      <w:r w:rsidR="00A96155" w:rsidRPr="004A2923">
        <w:t>2</w:t>
      </w:r>
      <w:r w:rsidRPr="004A2923">
        <w:t>1</w:t>
      </w:r>
      <w:r w:rsidR="008A6A46" w:rsidRPr="004A2923">
        <w:t>. godinu</w:t>
      </w:r>
      <w:r w:rsidR="00462D28" w:rsidRPr="004A2923">
        <w:t xml:space="preserve">, </w:t>
      </w:r>
      <w:r w:rsidR="007C5DCA">
        <w:t xml:space="preserve">zbog potrebe </w:t>
      </w:r>
      <w:r w:rsidR="00462D28" w:rsidRPr="004A2923">
        <w:t>održavanja dotrajalih objekata i opreme</w:t>
      </w:r>
      <w:r w:rsidR="00A96155" w:rsidRPr="004A2923">
        <w:t xml:space="preserve"> </w:t>
      </w:r>
      <w:r w:rsidR="007C5DCA">
        <w:t>usred</w:t>
      </w:r>
      <w:r w:rsidR="00A96155" w:rsidRPr="004A2923">
        <w:t xml:space="preserve"> </w:t>
      </w:r>
      <w:r w:rsidR="00A96155" w:rsidRPr="00675585">
        <w:t>posljedica potresa.</w:t>
      </w:r>
    </w:p>
    <w:p w14:paraId="43F40FAB" w14:textId="77777777" w:rsidR="00027431" w:rsidRPr="004A2923" w:rsidRDefault="000A7485" w:rsidP="00DB0776">
      <w:r w:rsidRPr="00675585">
        <w:t>R</w:t>
      </w:r>
      <w:r w:rsidR="002762B6" w:rsidRPr="00675585">
        <w:t xml:space="preserve">ashodi za sitni inventar </w:t>
      </w:r>
      <w:r w:rsidR="00B540DC" w:rsidRPr="00675585">
        <w:t>(</w:t>
      </w:r>
      <w:r w:rsidRPr="00675585">
        <w:t>79.363,86</w:t>
      </w:r>
      <w:r w:rsidR="00B540DC" w:rsidRPr="00675585">
        <w:t xml:space="preserve"> kn)</w:t>
      </w:r>
      <w:r w:rsidR="002762B6" w:rsidRPr="00675585">
        <w:t xml:space="preserve"> u 202</w:t>
      </w:r>
      <w:r w:rsidRPr="00675585">
        <w:t>2</w:t>
      </w:r>
      <w:r w:rsidR="002762B6" w:rsidRPr="00675585">
        <w:t xml:space="preserve">. godini </w:t>
      </w:r>
      <w:r w:rsidRPr="00675585">
        <w:t xml:space="preserve">veći </w:t>
      </w:r>
      <w:r w:rsidR="002762B6" w:rsidRPr="00675585">
        <w:t xml:space="preserve"> </w:t>
      </w:r>
      <w:r w:rsidR="00B540DC" w:rsidRPr="00675585">
        <w:t xml:space="preserve">su </w:t>
      </w:r>
      <w:r w:rsidR="002762B6" w:rsidRPr="00675585">
        <w:t xml:space="preserve">za </w:t>
      </w:r>
      <w:r w:rsidRPr="00675585">
        <w:t>48,2</w:t>
      </w:r>
      <w:r w:rsidR="00A96155" w:rsidRPr="00675585">
        <w:t>0</w:t>
      </w:r>
      <w:r w:rsidR="002762B6" w:rsidRPr="00675585">
        <w:t xml:space="preserve"> </w:t>
      </w:r>
      <w:r w:rsidR="00B859F8" w:rsidRPr="00675585">
        <w:t xml:space="preserve"> %</w:t>
      </w:r>
      <w:r w:rsidR="002762B6" w:rsidRPr="00675585">
        <w:t xml:space="preserve"> u odnosu na 20</w:t>
      </w:r>
      <w:r w:rsidR="00A96155" w:rsidRPr="00675585">
        <w:t>2</w:t>
      </w:r>
      <w:r w:rsidRPr="00675585">
        <w:t>1</w:t>
      </w:r>
      <w:r w:rsidR="002762B6" w:rsidRPr="00675585">
        <w:t>. godinu,</w:t>
      </w:r>
      <w:r w:rsidR="00A96155" w:rsidRPr="00675585">
        <w:t xml:space="preserve"> </w:t>
      </w:r>
      <w:r w:rsidR="00B540DC" w:rsidRPr="00675585">
        <w:t xml:space="preserve">radi </w:t>
      </w:r>
      <w:r w:rsidR="00A96155" w:rsidRPr="00675585">
        <w:t>nabav</w:t>
      </w:r>
      <w:r w:rsidR="00B540DC" w:rsidRPr="00675585">
        <w:t>e</w:t>
      </w:r>
      <w:r w:rsidR="00A96155" w:rsidRPr="00675585">
        <w:t xml:space="preserve"> novih telefona</w:t>
      </w:r>
      <w:r w:rsidRPr="00675585">
        <w:t xml:space="preserve"> zbog dotrajalosti, uništ</w:t>
      </w:r>
      <w:r w:rsidR="00B540DC" w:rsidRPr="00675585">
        <w:t>a</w:t>
      </w:r>
      <w:r w:rsidRPr="00675585">
        <w:t>vača papira i ostalih potrebnih sredstava za</w:t>
      </w:r>
      <w:r w:rsidRPr="004A2923">
        <w:t xml:space="preserve"> rad.</w:t>
      </w:r>
    </w:p>
    <w:p w14:paraId="0509DDFA" w14:textId="77777777" w:rsidR="00E92E67" w:rsidRPr="004A2923" w:rsidRDefault="000A7485" w:rsidP="00B540DC">
      <w:pPr>
        <w:jc w:val="both"/>
      </w:pPr>
      <w:r w:rsidRPr="004A2923">
        <w:t>R</w:t>
      </w:r>
      <w:r w:rsidR="00CB31F3" w:rsidRPr="004A2923">
        <w:t xml:space="preserve">ashodi za usluge </w:t>
      </w:r>
      <w:r w:rsidR="00B540DC">
        <w:t>(</w:t>
      </w:r>
      <w:r w:rsidRPr="004A2923">
        <w:t>27.439.779,01</w:t>
      </w:r>
      <w:r w:rsidR="00A96155" w:rsidRPr="004A2923">
        <w:t xml:space="preserve"> </w:t>
      </w:r>
      <w:r w:rsidR="00B540DC">
        <w:t>kn)</w:t>
      </w:r>
      <w:r w:rsidR="00CB31F3" w:rsidRPr="004A2923">
        <w:t xml:space="preserve"> u </w:t>
      </w:r>
      <w:r w:rsidR="00A96155" w:rsidRPr="004A2923">
        <w:t>202</w:t>
      </w:r>
      <w:r w:rsidRPr="004A2923">
        <w:t>2</w:t>
      </w:r>
      <w:r w:rsidR="00A96155" w:rsidRPr="004A2923">
        <w:t xml:space="preserve">. </w:t>
      </w:r>
      <w:r w:rsidR="00CB31F3" w:rsidRPr="004A2923">
        <w:t xml:space="preserve"> godini </w:t>
      </w:r>
      <w:r w:rsidR="00B540DC">
        <w:t xml:space="preserve">veći su za </w:t>
      </w:r>
      <w:r w:rsidRPr="004A2923">
        <w:t>69,50</w:t>
      </w:r>
      <w:r w:rsidR="00CB31F3" w:rsidRPr="004A2923">
        <w:t xml:space="preserve"> </w:t>
      </w:r>
      <w:r w:rsidR="00B859F8">
        <w:t xml:space="preserve"> %</w:t>
      </w:r>
      <w:r w:rsidR="00CB31F3" w:rsidRPr="004A2923">
        <w:t xml:space="preserve"> u odnosu na 20</w:t>
      </w:r>
      <w:r w:rsidR="00A96155" w:rsidRPr="004A2923">
        <w:t>2</w:t>
      </w:r>
      <w:r w:rsidRPr="004A2923">
        <w:t>1</w:t>
      </w:r>
      <w:r w:rsidR="00CB31F3" w:rsidRPr="004A2923">
        <w:t>. godinu</w:t>
      </w:r>
      <w:r w:rsidR="00B540DC">
        <w:t xml:space="preserve">, što je prvenstveno rezultat </w:t>
      </w:r>
      <w:r w:rsidR="00A96155" w:rsidRPr="004A2923">
        <w:t>usluga investicijskog održavanja objekata uslijed posljedica potresa</w:t>
      </w:r>
      <w:r w:rsidR="00B540DC">
        <w:t xml:space="preserve"> te </w:t>
      </w:r>
      <w:r w:rsidR="00A96155" w:rsidRPr="004A2923">
        <w:t xml:space="preserve"> </w:t>
      </w:r>
      <w:r w:rsidR="00B540DC">
        <w:t>po</w:t>
      </w:r>
      <w:r w:rsidR="00A96155" w:rsidRPr="004A2923">
        <w:t>većanih troškova testiran</w:t>
      </w:r>
      <w:r w:rsidR="00EA649C" w:rsidRPr="004A2923">
        <w:t>ja</w:t>
      </w:r>
      <w:r w:rsidR="00A96155" w:rsidRPr="004A2923">
        <w:t>.</w:t>
      </w:r>
      <w:r w:rsidR="00B540DC">
        <w:t xml:space="preserve"> Nadalje, u</w:t>
      </w:r>
      <w:r w:rsidR="00CB31F3" w:rsidRPr="004A2923">
        <w:t xml:space="preserve">sluge telefona, pošte i prijevoza </w:t>
      </w:r>
      <w:r w:rsidR="00B540DC">
        <w:t xml:space="preserve">značajno su povećani zbog većeg </w:t>
      </w:r>
      <w:r w:rsidR="00FC0EE8" w:rsidRPr="004A2923">
        <w:t>broja gostovanja u odnosu na 2021</w:t>
      </w:r>
      <w:r w:rsidR="00B540DC">
        <w:t>. godinu dok su r</w:t>
      </w:r>
      <w:r w:rsidR="00FC0EE8" w:rsidRPr="004A2923">
        <w:t>ashodi</w:t>
      </w:r>
      <w:r w:rsidR="006D289B" w:rsidRPr="004A2923">
        <w:t xml:space="preserve"> za </w:t>
      </w:r>
      <w:r w:rsidR="008A6A46" w:rsidRPr="004A2923">
        <w:t>usluge tekućeg i investicijskog održavanja u 20</w:t>
      </w:r>
      <w:r w:rsidR="006C6A29" w:rsidRPr="004A2923">
        <w:t>2</w:t>
      </w:r>
      <w:r w:rsidR="00FC0EE8" w:rsidRPr="004A2923">
        <w:t>2</w:t>
      </w:r>
      <w:r w:rsidR="008A6A46" w:rsidRPr="004A2923">
        <w:t xml:space="preserve">. godini  </w:t>
      </w:r>
      <w:r w:rsidR="00B540DC">
        <w:t>(</w:t>
      </w:r>
      <w:r w:rsidR="00FC0EE8" w:rsidRPr="004A2923">
        <w:t>1.025.340,61</w:t>
      </w:r>
      <w:r w:rsidR="00B540DC">
        <w:t xml:space="preserve"> kn) smanjeni za 1</w:t>
      </w:r>
      <w:r w:rsidR="00FC0EE8" w:rsidRPr="004A2923">
        <w:t>5</w:t>
      </w:r>
      <w:r w:rsidR="00B859F8">
        <w:t xml:space="preserve"> %</w:t>
      </w:r>
      <w:r w:rsidR="009F59D4" w:rsidRPr="004A2923">
        <w:t xml:space="preserve"> </w:t>
      </w:r>
      <w:r w:rsidR="00110659" w:rsidRPr="004A2923">
        <w:t xml:space="preserve"> </w:t>
      </w:r>
      <w:r w:rsidR="008A6A46" w:rsidRPr="004A2923">
        <w:t>u odnosu na 20</w:t>
      </w:r>
      <w:r w:rsidR="00E92E67" w:rsidRPr="004A2923">
        <w:t>2</w:t>
      </w:r>
      <w:r w:rsidR="00FC0EE8" w:rsidRPr="004A2923">
        <w:t>1</w:t>
      </w:r>
      <w:r w:rsidR="006C6A29" w:rsidRPr="004A2923">
        <w:t xml:space="preserve">. </w:t>
      </w:r>
      <w:r w:rsidR="00B540DC">
        <w:t xml:space="preserve">zbog ulaganja u nefinancijsku imovinu na </w:t>
      </w:r>
      <w:r w:rsidR="00E92E67" w:rsidRPr="004A2923">
        <w:t xml:space="preserve">prostorima u </w:t>
      </w:r>
      <w:proofErr w:type="spellStart"/>
      <w:r w:rsidR="00E92E67" w:rsidRPr="004A2923">
        <w:t>Adžijinoj</w:t>
      </w:r>
      <w:proofErr w:type="spellEnd"/>
      <w:r w:rsidR="00E92E67" w:rsidRPr="004A2923">
        <w:t xml:space="preserve">, Mesićevoj i </w:t>
      </w:r>
      <w:r w:rsidR="00B540DC">
        <w:t xml:space="preserve">na </w:t>
      </w:r>
      <w:r w:rsidR="00E92E67" w:rsidRPr="004A2923">
        <w:t xml:space="preserve">Trgu Republike Hrvatske </w:t>
      </w:r>
      <w:r w:rsidR="00B540DC">
        <w:t xml:space="preserve">br. </w:t>
      </w:r>
      <w:r w:rsidR="00E92E67" w:rsidRPr="004A2923">
        <w:t>15</w:t>
      </w:r>
      <w:r w:rsidR="00B540DC">
        <w:t>.</w:t>
      </w:r>
      <w:r w:rsidR="00E92E67" w:rsidRPr="004A2923">
        <w:t xml:space="preserve">, kao posljedica saniranja štete od potresa. </w:t>
      </w:r>
    </w:p>
    <w:p w14:paraId="669584E7" w14:textId="77777777" w:rsidR="00D409DD" w:rsidRPr="004A2923" w:rsidRDefault="00FC0EE8" w:rsidP="00675585">
      <w:pPr>
        <w:jc w:val="both"/>
      </w:pPr>
      <w:r w:rsidRPr="004A2923">
        <w:t>R</w:t>
      </w:r>
      <w:r w:rsidR="00352A08" w:rsidRPr="004A2923">
        <w:t xml:space="preserve">ashodi za </w:t>
      </w:r>
      <w:r w:rsidR="00EC3562" w:rsidRPr="004A2923">
        <w:t xml:space="preserve"> usluge promidžbe i informiranja u 20</w:t>
      </w:r>
      <w:r w:rsidR="00983714" w:rsidRPr="004A2923">
        <w:t>2</w:t>
      </w:r>
      <w:r w:rsidRPr="004A2923">
        <w:t>2</w:t>
      </w:r>
      <w:r w:rsidR="00EC3562" w:rsidRPr="004A2923">
        <w:t xml:space="preserve">. godini  </w:t>
      </w:r>
      <w:r w:rsidR="00B540DC">
        <w:t>(</w:t>
      </w:r>
      <w:r w:rsidRPr="004A2923">
        <w:t>867.879,48</w:t>
      </w:r>
      <w:r w:rsidR="00E92E67" w:rsidRPr="004A2923">
        <w:t xml:space="preserve"> </w:t>
      </w:r>
      <w:r w:rsidR="00B540DC">
        <w:t xml:space="preserve">kn) </w:t>
      </w:r>
      <w:r w:rsidR="00E92E67" w:rsidRPr="004A2923">
        <w:t xml:space="preserve">veći </w:t>
      </w:r>
      <w:r w:rsidR="00B540DC">
        <w:t xml:space="preserve">su </w:t>
      </w:r>
      <w:r w:rsidR="00302B85" w:rsidRPr="004A2923">
        <w:t xml:space="preserve">za </w:t>
      </w:r>
      <w:r w:rsidR="00B540DC">
        <w:t>5</w:t>
      </w:r>
      <w:r w:rsidRPr="004A2923">
        <w:t>6,70</w:t>
      </w:r>
      <w:r w:rsidR="00B859F8">
        <w:t xml:space="preserve"> %</w:t>
      </w:r>
      <w:r w:rsidR="00302B85" w:rsidRPr="004A2923">
        <w:t xml:space="preserve"> </w:t>
      </w:r>
      <w:r w:rsidR="00EC3562" w:rsidRPr="004A2923">
        <w:t xml:space="preserve"> u odnosu na 20</w:t>
      </w:r>
      <w:r w:rsidR="00E92E67" w:rsidRPr="004A2923">
        <w:t>2</w:t>
      </w:r>
      <w:r w:rsidRPr="004A2923">
        <w:t>1</w:t>
      </w:r>
      <w:r w:rsidR="00E92E67" w:rsidRPr="004A2923">
        <w:t xml:space="preserve"> </w:t>
      </w:r>
      <w:r w:rsidR="00EC3562" w:rsidRPr="004A2923">
        <w:t>. godinu</w:t>
      </w:r>
      <w:r w:rsidR="00302B85" w:rsidRPr="004A2923">
        <w:t xml:space="preserve">, zbog </w:t>
      </w:r>
      <w:r w:rsidR="00E92E67" w:rsidRPr="004A2923">
        <w:t xml:space="preserve">većeg </w:t>
      </w:r>
      <w:r w:rsidR="00983714" w:rsidRPr="004A2923">
        <w:t>broja održanih premijernih izvedbi i predstava</w:t>
      </w:r>
      <w:r w:rsidR="00B540DC">
        <w:t xml:space="preserve"> uslijed čega su porasli i rashodi </w:t>
      </w:r>
      <w:r w:rsidR="00CB31F3" w:rsidRPr="004A2923">
        <w:t xml:space="preserve">za  zakupnine  </w:t>
      </w:r>
      <w:r w:rsidR="00B540DC">
        <w:t>(</w:t>
      </w:r>
      <w:r w:rsidRPr="004A2923">
        <w:t>1.641.117,57</w:t>
      </w:r>
      <w:r w:rsidR="00B540DC">
        <w:t xml:space="preserve"> kn) za 1</w:t>
      </w:r>
      <w:r w:rsidRPr="004A2923">
        <w:t>02,10</w:t>
      </w:r>
      <w:r w:rsidR="00CB31F3" w:rsidRPr="004A2923">
        <w:t xml:space="preserve"> </w:t>
      </w:r>
      <w:r w:rsidR="00B859F8">
        <w:t xml:space="preserve"> %</w:t>
      </w:r>
      <w:r w:rsidR="00675585">
        <w:t>, r</w:t>
      </w:r>
      <w:r w:rsidR="00A044FC" w:rsidRPr="004A2923">
        <w:t xml:space="preserve">ashodi za </w:t>
      </w:r>
      <w:r w:rsidR="00A13576" w:rsidRPr="004A2923">
        <w:t xml:space="preserve">intelektualne i osobne usluge </w:t>
      </w:r>
      <w:r w:rsidR="00786E55" w:rsidRPr="004A2923">
        <w:t xml:space="preserve"> u 20</w:t>
      </w:r>
      <w:r w:rsidR="00A13576" w:rsidRPr="004A2923">
        <w:t>2</w:t>
      </w:r>
      <w:r w:rsidRPr="004A2923">
        <w:t>2</w:t>
      </w:r>
      <w:r w:rsidR="00786E55" w:rsidRPr="004A2923">
        <w:t xml:space="preserve">. godini  </w:t>
      </w:r>
      <w:r w:rsidR="00B540DC">
        <w:t>(</w:t>
      </w:r>
      <w:r w:rsidRPr="004A2923">
        <w:t>17.938.608,10</w:t>
      </w:r>
      <w:r w:rsidR="0034335D" w:rsidRPr="004A2923">
        <w:t xml:space="preserve"> </w:t>
      </w:r>
      <w:r w:rsidR="00B540DC">
        <w:t>kn)</w:t>
      </w:r>
      <w:r w:rsidR="00302B85" w:rsidRPr="004A2923">
        <w:t xml:space="preserve"> za </w:t>
      </w:r>
      <w:r w:rsidRPr="004A2923">
        <w:t>94,50</w:t>
      </w:r>
      <w:r w:rsidR="00A13576" w:rsidRPr="004A2923">
        <w:t xml:space="preserve"> </w:t>
      </w:r>
      <w:r w:rsidR="00B859F8">
        <w:t xml:space="preserve"> %</w:t>
      </w:r>
      <w:r w:rsidR="00675585">
        <w:t xml:space="preserve"> te ostale </w:t>
      </w:r>
      <w:r w:rsidR="00E64FC4" w:rsidRPr="004A2923">
        <w:t xml:space="preserve">usluge </w:t>
      </w:r>
      <w:r w:rsidR="00675585">
        <w:t>(</w:t>
      </w:r>
      <w:r w:rsidRPr="004A2923">
        <w:t>4.083.971,19</w:t>
      </w:r>
      <w:r w:rsidR="00B743F1" w:rsidRPr="004A2923">
        <w:t xml:space="preserve"> </w:t>
      </w:r>
      <w:r w:rsidR="00675585">
        <w:t xml:space="preserve">kn) za </w:t>
      </w:r>
      <w:r w:rsidRPr="004A2923">
        <w:t>39,10</w:t>
      </w:r>
      <w:r w:rsidR="00B743F1" w:rsidRPr="004A2923">
        <w:t xml:space="preserve"> </w:t>
      </w:r>
      <w:r w:rsidR="00675585">
        <w:t>%.</w:t>
      </w:r>
    </w:p>
    <w:p w14:paraId="11187DE5" w14:textId="77777777" w:rsidR="0057529D" w:rsidRPr="004A2923" w:rsidRDefault="00675585" w:rsidP="00675585">
      <w:pPr>
        <w:jc w:val="both"/>
      </w:pPr>
      <w:r>
        <w:t>Troškovi n</w:t>
      </w:r>
      <w:r w:rsidR="0057529D" w:rsidRPr="004A2923">
        <w:t>a</w:t>
      </w:r>
      <w:r w:rsidR="00D409DD" w:rsidRPr="004A2923">
        <w:t>knad</w:t>
      </w:r>
      <w:r>
        <w:t>a</w:t>
      </w:r>
      <w:r w:rsidR="00D409DD" w:rsidRPr="004A2923">
        <w:t xml:space="preserve"> za rad predstavničkih i izvršnih tijela u 202</w:t>
      </w:r>
      <w:r w:rsidR="0057529D" w:rsidRPr="004A2923">
        <w:t>2</w:t>
      </w:r>
      <w:r w:rsidR="00D409DD" w:rsidRPr="004A2923">
        <w:t>. godini ostvaren</w:t>
      </w:r>
      <w:r>
        <w:t>i su</w:t>
      </w:r>
      <w:r w:rsidR="00D409DD" w:rsidRPr="004A2923">
        <w:t xml:space="preserve"> </w:t>
      </w:r>
      <w:r>
        <w:t xml:space="preserve">u znatno većem iznosu (indeks </w:t>
      </w:r>
      <w:r w:rsidR="0057529D" w:rsidRPr="004A2923">
        <w:t>315,20</w:t>
      </w:r>
      <w:r>
        <w:t xml:space="preserve">) </w:t>
      </w:r>
      <w:r w:rsidR="00D409DD" w:rsidRPr="004A2923">
        <w:t>u odnosu na 20</w:t>
      </w:r>
      <w:r w:rsidR="000F5B37" w:rsidRPr="004A2923">
        <w:t>2</w:t>
      </w:r>
      <w:r w:rsidR="0057529D" w:rsidRPr="004A2923">
        <w:t>1</w:t>
      </w:r>
      <w:r w:rsidR="00D409DD" w:rsidRPr="004A2923">
        <w:t xml:space="preserve">. godinu zbog </w:t>
      </w:r>
      <w:r w:rsidR="0057529D" w:rsidRPr="004A2923">
        <w:t>većeg</w:t>
      </w:r>
      <w:r w:rsidR="00D409DD" w:rsidRPr="004A2923">
        <w:t xml:space="preserve"> broja održanih sjednica kazališnog vijeća</w:t>
      </w:r>
      <w:r w:rsidR="0057529D" w:rsidRPr="004A2923">
        <w:t>.</w:t>
      </w:r>
    </w:p>
    <w:p w14:paraId="73A263D9" w14:textId="77777777" w:rsidR="00F419A8" w:rsidRPr="004A2923" w:rsidRDefault="00675585" w:rsidP="00675585">
      <w:pPr>
        <w:jc w:val="both"/>
      </w:pPr>
      <w:r>
        <w:t>Troškovi r</w:t>
      </w:r>
      <w:r w:rsidR="00F419A8" w:rsidRPr="004A2923">
        <w:t>eprezentacij</w:t>
      </w:r>
      <w:r>
        <w:t>e (</w:t>
      </w:r>
      <w:r w:rsidR="0022543A" w:rsidRPr="004A2923">
        <w:t>435.892,19</w:t>
      </w:r>
      <w:r w:rsidR="00F419A8" w:rsidRPr="004A2923">
        <w:t xml:space="preserve"> </w:t>
      </w:r>
      <w:r>
        <w:t>kn) značajno su porasli u odnosu na 2021. godinu (indeks 4</w:t>
      </w:r>
      <w:r w:rsidR="0022543A" w:rsidRPr="004A2923">
        <w:t>73,80</w:t>
      </w:r>
      <w:r>
        <w:t xml:space="preserve">) radi </w:t>
      </w:r>
      <w:r w:rsidR="000F5B37" w:rsidRPr="004A2923">
        <w:t xml:space="preserve">većeg broja </w:t>
      </w:r>
      <w:r>
        <w:t xml:space="preserve">održanih </w:t>
      </w:r>
      <w:r w:rsidR="000F5B37" w:rsidRPr="004A2923">
        <w:t>premijera</w:t>
      </w:r>
      <w:r>
        <w:t xml:space="preserve"> uslijed prestanka mjera izazvanih COVID-19</w:t>
      </w:r>
      <w:r w:rsidR="0022543A" w:rsidRPr="004A2923">
        <w:t>.</w:t>
      </w:r>
    </w:p>
    <w:p w14:paraId="37DD7BBC" w14:textId="77777777" w:rsidR="00F14A38" w:rsidRPr="004A2923" w:rsidRDefault="0022543A" w:rsidP="00675585">
      <w:pPr>
        <w:jc w:val="both"/>
      </w:pPr>
      <w:r w:rsidRPr="004A2923">
        <w:t>T</w:t>
      </w:r>
      <w:r w:rsidR="00191017" w:rsidRPr="004A2923">
        <w:t xml:space="preserve">roškovi sudskih postupaka </w:t>
      </w:r>
      <w:r w:rsidR="00675585">
        <w:t>(</w:t>
      </w:r>
      <w:r w:rsidRPr="004A2923">
        <w:t>513.187,11</w:t>
      </w:r>
      <w:r w:rsidR="00191017" w:rsidRPr="004A2923">
        <w:t xml:space="preserve"> kn</w:t>
      </w:r>
      <w:r w:rsidR="00675585">
        <w:t>)</w:t>
      </w:r>
      <w:r w:rsidR="00191017" w:rsidRPr="004A2923">
        <w:t xml:space="preserve"> </w:t>
      </w:r>
      <w:r w:rsidR="00675585">
        <w:t xml:space="preserve">posljedica su </w:t>
      </w:r>
      <w:r w:rsidR="00191017" w:rsidRPr="004A2923">
        <w:t>plaćenih troškova za suds</w:t>
      </w:r>
      <w:r w:rsidR="00675585">
        <w:t>ke</w:t>
      </w:r>
      <w:r w:rsidR="00191017" w:rsidRPr="004A2923">
        <w:t xml:space="preserve"> spor</w:t>
      </w:r>
      <w:r w:rsidR="00675585">
        <w:t>ove</w:t>
      </w:r>
      <w:r w:rsidR="00191017" w:rsidRPr="004A2923">
        <w:t xml:space="preserve"> </w:t>
      </w:r>
      <w:r w:rsidR="00675585">
        <w:t xml:space="preserve">zaposlenika u odnosu prema Hrvatskom narodnom kazalištu </w:t>
      </w:r>
      <w:r w:rsidR="00B92E98">
        <w:t>za 6% potraživanja za plaće</w:t>
      </w:r>
      <w:r w:rsidR="00675585">
        <w:t xml:space="preserve">. </w:t>
      </w:r>
    </w:p>
    <w:p w14:paraId="46E0B789" w14:textId="77777777" w:rsidR="00FE79A8" w:rsidRPr="004A2923" w:rsidRDefault="00FE79A8" w:rsidP="00302B85"/>
    <w:p w14:paraId="35EDCD40" w14:textId="77777777" w:rsidR="006A7689" w:rsidRPr="004A2923" w:rsidRDefault="006A7689" w:rsidP="00DB0776">
      <w:pPr>
        <w:rPr>
          <w:b/>
          <w:bCs/>
        </w:rPr>
      </w:pPr>
      <w:r w:rsidRPr="004A2923">
        <w:rPr>
          <w:b/>
          <w:bCs/>
        </w:rPr>
        <w:t xml:space="preserve">Bilješka </w:t>
      </w:r>
      <w:r w:rsidR="009A1309">
        <w:rPr>
          <w:b/>
          <w:bCs/>
        </w:rPr>
        <w:t>1</w:t>
      </w:r>
      <w:r w:rsidR="00CF12B0">
        <w:rPr>
          <w:b/>
          <w:bCs/>
        </w:rPr>
        <w:t>1</w:t>
      </w:r>
      <w:r w:rsidRPr="004A2923">
        <w:rPr>
          <w:b/>
          <w:bCs/>
        </w:rPr>
        <w:t>.</w:t>
      </w:r>
      <w:r w:rsidR="00C64208" w:rsidRPr="004A2923">
        <w:rPr>
          <w:b/>
          <w:bCs/>
        </w:rPr>
        <w:t xml:space="preserve"> Ostali </w:t>
      </w:r>
      <w:r w:rsidR="00F71448" w:rsidRPr="004A2923">
        <w:rPr>
          <w:b/>
          <w:bCs/>
        </w:rPr>
        <w:t xml:space="preserve"> </w:t>
      </w:r>
      <w:r w:rsidR="00C64208" w:rsidRPr="004A2923">
        <w:rPr>
          <w:b/>
          <w:bCs/>
        </w:rPr>
        <w:t>f</w:t>
      </w:r>
      <w:r w:rsidR="00F71448" w:rsidRPr="004A2923">
        <w:rPr>
          <w:b/>
          <w:bCs/>
        </w:rPr>
        <w:t xml:space="preserve">inancijski rashodi </w:t>
      </w:r>
      <w:r w:rsidR="009A1309">
        <w:rPr>
          <w:b/>
          <w:bCs/>
        </w:rPr>
        <w:t>(u kn)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1417"/>
        <w:gridCol w:w="1386"/>
        <w:gridCol w:w="1600"/>
      </w:tblGrid>
      <w:tr w:rsidR="0022543A" w:rsidRPr="004A2923" w14:paraId="10BA73D2" w14:textId="77777777" w:rsidTr="009A1309">
        <w:trPr>
          <w:trHeight w:val="344"/>
        </w:trPr>
        <w:tc>
          <w:tcPr>
            <w:tcW w:w="988" w:type="dxa"/>
            <w:hideMark/>
          </w:tcPr>
          <w:p w14:paraId="7EE7D8DA" w14:textId="77777777" w:rsidR="0022543A" w:rsidRPr="004A2923" w:rsidRDefault="0022543A">
            <w:r w:rsidRPr="004A2923">
              <w:t xml:space="preserve">RAZRED </w:t>
            </w:r>
          </w:p>
        </w:tc>
        <w:tc>
          <w:tcPr>
            <w:tcW w:w="3402" w:type="dxa"/>
            <w:hideMark/>
          </w:tcPr>
          <w:p w14:paraId="1F7723C6" w14:textId="77777777" w:rsidR="0022543A" w:rsidRPr="004A2923" w:rsidRDefault="0022543A">
            <w:r w:rsidRPr="004A2923">
              <w:t>NAZIV</w:t>
            </w:r>
          </w:p>
        </w:tc>
        <w:tc>
          <w:tcPr>
            <w:tcW w:w="1417" w:type="dxa"/>
            <w:noWrap/>
            <w:hideMark/>
          </w:tcPr>
          <w:p w14:paraId="38A43115" w14:textId="77777777" w:rsidR="0022543A" w:rsidRPr="004A2923" w:rsidRDefault="0022543A" w:rsidP="006A7689">
            <w:r w:rsidRPr="004A2923">
              <w:t>2021</w:t>
            </w:r>
          </w:p>
        </w:tc>
        <w:tc>
          <w:tcPr>
            <w:tcW w:w="1386" w:type="dxa"/>
            <w:noWrap/>
            <w:hideMark/>
          </w:tcPr>
          <w:p w14:paraId="0DFBB76B" w14:textId="77777777" w:rsidR="0022543A" w:rsidRPr="004A2923" w:rsidRDefault="0022543A" w:rsidP="006A7689">
            <w:r w:rsidRPr="004A2923">
              <w:t>2022</w:t>
            </w:r>
          </w:p>
        </w:tc>
        <w:tc>
          <w:tcPr>
            <w:tcW w:w="1600" w:type="dxa"/>
            <w:noWrap/>
            <w:hideMark/>
          </w:tcPr>
          <w:p w14:paraId="0CB82D9C" w14:textId="77777777" w:rsidR="0022543A" w:rsidRPr="004A2923" w:rsidRDefault="0022543A">
            <w:r w:rsidRPr="004A2923">
              <w:t>INDEKS</w:t>
            </w:r>
          </w:p>
        </w:tc>
      </w:tr>
      <w:tr w:rsidR="0022543A" w:rsidRPr="004A2923" w14:paraId="0DAB5EB5" w14:textId="77777777" w:rsidTr="009A1309">
        <w:trPr>
          <w:trHeight w:val="420"/>
        </w:trPr>
        <w:tc>
          <w:tcPr>
            <w:tcW w:w="988" w:type="dxa"/>
            <w:noWrap/>
            <w:hideMark/>
          </w:tcPr>
          <w:p w14:paraId="5BF9F0F7" w14:textId="77777777" w:rsidR="0022543A" w:rsidRPr="004A2923" w:rsidRDefault="0022543A" w:rsidP="006A7689">
            <w:r w:rsidRPr="004A2923">
              <w:t>34</w:t>
            </w:r>
          </w:p>
        </w:tc>
        <w:tc>
          <w:tcPr>
            <w:tcW w:w="3402" w:type="dxa"/>
            <w:hideMark/>
          </w:tcPr>
          <w:p w14:paraId="1E9E1DFB" w14:textId="77777777" w:rsidR="0022543A" w:rsidRPr="004A2923" w:rsidRDefault="0022543A">
            <w:r w:rsidRPr="004A2923">
              <w:t xml:space="preserve"> Financijski rashodi</w:t>
            </w:r>
          </w:p>
        </w:tc>
        <w:tc>
          <w:tcPr>
            <w:tcW w:w="1417" w:type="dxa"/>
            <w:noWrap/>
            <w:hideMark/>
          </w:tcPr>
          <w:p w14:paraId="32F0EF64" w14:textId="77777777" w:rsidR="0022543A" w:rsidRPr="004A2923" w:rsidRDefault="0022543A" w:rsidP="009A1309">
            <w:pPr>
              <w:jc w:val="right"/>
            </w:pPr>
            <w:r w:rsidRPr="004A2923">
              <w:t>197.184</w:t>
            </w:r>
            <w:r w:rsidR="009A1309">
              <w:t>,00</w:t>
            </w:r>
          </w:p>
        </w:tc>
        <w:tc>
          <w:tcPr>
            <w:tcW w:w="1386" w:type="dxa"/>
            <w:noWrap/>
            <w:hideMark/>
          </w:tcPr>
          <w:p w14:paraId="601C948F" w14:textId="77777777" w:rsidR="0022543A" w:rsidRPr="004A2923" w:rsidRDefault="0022543A" w:rsidP="009A1309">
            <w:pPr>
              <w:jc w:val="right"/>
            </w:pPr>
            <w:r w:rsidRPr="004A2923">
              <w:t>1.237.022,13</w:t>
            </w:r>
          </w:p>
        </w:tc>
        <w:tc>
          <w:tcPr>
            <w:tcW w:w="1600" w:type="dxa"/>
            <w:noWrap/>
            <w:hideMark/>
          </w:tcPr>
          <w:p w14:paraId="437C2BDC" w14:textId="77777777" w:rsidR="0022543A" w:rsidRPr="004A2923" w:rsidRDefault="0022543A" w:rsidP="009A1309">
            <w:pPr>
              <w:jc w:val="center"/>
            </w:pPr>
            <w:r w:rsidRPr="004A2923">
              <w:t>627,30</w:t>
            </w:r>
          </w:p>
        </w:tc>
      </w:tr>
    </w:tbl>
    <w:p w14:paraId="025CF9AF" w14:textId="77777777" w:rsidR="005255B8" w:rsidRPr="004A2923" w:rsidRDefault="005255B8" w:rsidP="00DB0776"/>
    <w:p w14:paraId="43E35D54" w14:textId="77777777" w:rsidR="00DA7F4D" w:rsidRPr="004A2923" w:rsidRDefault="008758EA" w:rsidP="009A1309">
      <w:pPr>
        <w:jc w:val="both"/>
      </w:pPr>
      <w:r w:rsidRPr="004A2923">
        <w:t xml:space="preserve">U </w:t>
      </w:r>
      <w:r w:rsidR="006A7689" w:rsidRPr="004A2923">
        <w:t xml:space="preserve"> </w:t>
      </w:r>
      <w:r w:rsidR="006516D9" w:rsidRPr="004A2923">
        <w:t>202</w:t>
      </w:r>
      <w:r w:rsidR="0022543A" w:rsidRPr="004A2923">
        <w:t>2</w:t>
      </w:r>
      <w:r w:rsidR="006516D9" w:rsidRPr="004A2923">
        <w:t xml:space="preserve">. </w:t>
      </w:r>
      <w:r w:rsidR="006A7689" w:rsidRPr="004A2923">
        <w:t xml:space="preserve"> godini ostvareni</w:t>
      </w:r>
      <w:r w:rsidR="009A1309">
        <w:t xml:space="preserve"> su </w:t>
      </w:r>
      <w:r w:rsidR="006A7689" w:rsidRPr="004A2923">
        <w:t>ukupni ostali financijski rashodi</w:t>
      </w:r>
      <w:r w:rsidR="0022543A" w:rsidRPr="004A2923">
        <w:t xml:space="preserve"> </w:t>
      </w:r>
      <w:r w:rsidR="006A7689" w:rsidRPr="004A2923">
        <w:t xml:space="preserve">u iznosu od </w:t>
      </w:r>
      <w:r w:rsidR="0022543A" w:rsidRPr="004A2923">
        <w:t>1.237.022,13</w:t>
      </w:r>
      <w:r w:rsidR="009A1309">
        <w:t xml:space="preserve"> kn, što je u odnosu na isto razdoblje 2021. godine značajno više i to zbog </w:t>
      </w:r>
      <w:r w:rsidRPr="004A2923">
        <w:t>zatezn</w:t>
      </w:r>
      <w:r w:rsidR="009A1309">
        <w:t>ih</w:t>
      </w:r>
      <w:r w:rsidRPr="004A2923">
        <w:t xml:space="preserve"> kamat</w:t>
      </w:r>
      <w:r w:rsidR="009A1309">
        <w:t>a</w:t>
      </w:r>
      <w:r w:rsidRPr="004A2923">
        <w:t xml:space="preserve"> </w:t>
      </w:r>
      <w:r w:rsidR="009A1309">
        <w:t xml:space="preserve">koje su plaćene u iznosu </w:t>
      </w:r>
      <w:r w:rsidR="0022543A" w:rsidRPr="004A2923">
        <w:t>861.866,05</w:t>
      </w:r>
      <w:r w:rsidR="009A1309">
        <w:t xml:space="preserve"> kn, p</w:t>
      </w:r>
      <w:r w:rsidR="0022543A" w:rsidRPr="004A2923">
        <w:t>o sudskim sporovima</w:t>
      </w:r>
      <w:r w:rsidR="009A1309">
        <w:t xml:space="preserve"> (</w:t>
      </w:r>
      <w:r w:rsidR="0022543A" w:rsidRPr="004A2923">
        <w:t>6</w:t>
      </w:r>
      <w:r w:rsidR="00B859F8">
        <w:t xml:space="preserve"> %</w:t>
      </w:r>
      <w:r w:rsidR="009A1309">
        <w:t xml:space="preserve"> manje isplaćene plaće za zaposlenike). </w:t>
      </w:r>
    </w:p>
    <w:p w14:paraId="0480468C" w14:textId="77777777" w:rsidR="000827B4" w:rsidRPr="004A2923" w:rsidRDefault="000827B4" w:rsidP="00DB0776"/>
    <w:p w14:paraId="481F29F9" w14:textId="77777777" w:rsidR="006A7689" w:rsidRPr="004A2923" w:rsidRDefault="006A7689" w:rsidP="00DB0776">
      <w:pPr>
        <w:rPr>
          <w:b/>
          <w:bCs/>
        </w:rPr>
      </w:pPr>
      <w:r w:rsidRPr="004A2923">
        <w:rPr>
          <w:b/>
          <w:bCs/>
        </w:rPr>
        <w:t xml:space="preserve">Bilješka </w:t>
      </w:r>
      <w:r w:rsidR="00C7551A" w:rsidRPr="004A2923">
        <w:rPr>
          <w:b/>
          <w:bCs/>
        </w:rPr>
        <w:t>1</w:t>
      </w:r>
      <w:r w:rsidR="00CF12B0">
        <w:rPr>
          <w:b/>
          <w:bCs/>
        </w:rPr>
        <w:t>2</w:t>
      </w:r>
      <w:r w:rsidRPr="004A2923">
        <w:rPr>
          <w:b/>
          <w:bCs/>
        </w:rPr>
        <w:t>.</w:t>
      </w:r>
      <w:r w:rsidR="005302D2" w:rsidRPr="004A2923">
        <w:rPr>
          <w:b/>
          <w:bCs/>
        </w:rPr>
        <w:t xml:space="preserve"> Ostale naknade građanima i kućanstvima iz proračuna</w:t>
      </w:r>
      <w:r w:rsidR="009A1309">
        <w:rPr>
          <w:b/>
          <w:bCs/>
        </w:rPr>
        <w:t xml:space="preserve"> (u kn)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1417"/>
        <w:gridCol w:w="1235"/>
        <w:gridCol w:w="1742"/>
      </w:tblGrid>
      <w:tr w:rsidR="0022543A" w:rsidRPr="004A2923" w14:paraId="429D98F6" w14:textId="77777777" w:rsidTr="009A1309">
        <w:trPr>
          <w:trHeight w:val="312"/>
        </w:trPr>
        <w:tc>
          <w:tcPr>
            <w:tcW w:w="988" w:type="dxa"/>
            <w:hideMark/>
          </w:tcPr>
          <w:p w14:paraId="6E9A0960" w14:textId="77777777" w:rsidR="0022543A" w:rsidRPr="004A2923" w:rsidRDefault="0022543A" w:rsidP="009A1309">
            <w:pPr>
              <w:jc w:val="center"/>
            </w:pPr>
            <w:bookmarkStart w:id="4" w:name="_Hlk30850202"/>
            <w:r w:rsidRPr="004A2923">
              <w:t>RAZRED</w:t>
            </w:r>
          </w:p>
        </w:tc>
        <w:tc>
          <w:tcPr>
            <w:tcW w:w="3402" w:type="dxa"/>
            <w:hideMark/>
          </w:tcPr>
          <w:p w14:paraId="26669280" w14:textId="77777777" w:rsidR="0022543A" w:rsidRPr="004A2923" w:rsidRDefault="0022543A" w:rsidP="009A1309">
            <w:pPr>
              <w:jc w:val="center"/>
            </w:pPr>
            <w:r w:rsidRPr="004A2923">
              <w:t>NAZIV</w:t>
            </w:r>
          </w:p>
        </w:tc>
        <w:tc>
          <w:tcPr>
            <w:tcW w:w="1417" w:type="dxa"/>
            <w:noWrap/>
            <w:hideMark/>
          </w:tcPr>
          <w:p w14:paraId="480EFE42" w14:textId="77777777" w:rsidR="0022543A" w:rsidRPr="004A2923" w:rsidRDefault="0022543A" w:rsidP="009A1309">
            <w:pPr>
              <w:jc w:val="center"/>
            </w:pPr>
            <w:r w:rsidRPr="004A2923">
              <w:t>2021</w:t>
            </w:r>
          </w:p>
        </w:tc>
        <w:tc>
          <w:tcPr>
            <w:tcW w:w="1235" w:type="dxa"/>
            <w:noWrap/>
            <w:hideMark/>
          </w:tcPr>
          <w:p w14:paraId="023D07F1" w14:textId="77777777" w:rsidR="0022543A" w:rsidRPr="004A2923" w:rsidRDefault="0022543A" w:rsidP="009A1309">
            <w:pPr>
              <w:jc w:val="center"/>
            </w:pPr>
            <w:r w:rsidRPr="004A2923">
              <w:t>2022</w:t>
            </w:r>
          </w:p>
        </w:tc>
        <w:tc>
          <w:tcPr>
            <w:tcW w:w="1742" w:type="dxa"/>
            <w:noWrap/>
            <w:hideMark/>
          </w:tcPr>
          <w:p w14:paraId="7A66537B" w14:textId="77777777" w:rsidR="0022543A" w:rsidRPr="004A2923" w:rsidRDefault="0022543A" w:rsidP="009A1309">
            <w:pPr>
              <w:jc w:val="center"/>
            </w:pPr>
            <w:r w:rsidRPr="004A2923">
              <w:t>INDEKS</w:t>
            </w:r>
          </w:p>
        </w:tc>
      </w:tr>
      <w:tr w:rsidR="0022543A" w:rsidRPr="004A2923" w14:paraId="398FCAD2" w14:textId="77777777" w:rsidTr="009A1309">
        <w:trPr>
          <w:trHeight w:val="274"/>
        </w:trPr>
        <w:tc>
          <w:tcPr>
            <w:tcW w:w="988" w:type="dxa"/>
            <w:noWrap/>
            <w:hideMark/>
          </w:tcPr>
          <w:p w14:paraId="3301E8EA" w14:textId="77777777" w:rsidR="0022543A" w:rsidRPr="004A2923" w:rsidRDefault="0022543A" w:rsidP="006A7689">
            <w:r w:rsidRPr="004A2923">
              <w:t>372</w:t>
            </w:r>
          </w:p>
        </w:tc>
        <w:tc>
          <w:tcPr>
            <w:tcW w:w="3402" w:type="dxa"/>
            <w:hideMark/>
          </w:tcPr>
          <w:p w14:paraId="6B5120C9" w14:textId="77777777" w:rsidR="0022543A" w:rsidRPr="004A2923" w:rsidRDefault="0022543A">
            <w:r w:rsidRPr="004A2923">
              <w:t xml:space="preserve">Ostale naknade građanima </w:t>
            </w:r>
          </w:p>
        </w:tc>
        <w:tc>
          <w:tcPr>
            <w:tcW w:w="1417" w:type="dxa"/>
            <w:noWrap/>
            <w:hideMark/>
          </w:tcPr>
          <w:p w14:paraId="2263BFAC" w14:textId="77777777" w:rsidR="0022543A" w:rsidRPr="004A2923" w:rsidRDefault="0022543A" w:rsidP="009A1309">
            <w:pPr>
              <w:jc w:val="right"/>
            </w:pPr>
            <w:r w:rsidRPr="004A2923">
              <w:t>52.500</w:t>
            </w:r>
            <w:r w:rsidR="009A1309">
              <w:t>,00</w:t>
            </w:r>
          </w:p>
        </w:tc>
        <w:tc>
          <w:tcPr>
            <w:tcW w:w="1235" w:type="dxa"/>
            <w:noWrap/>
            <w:hideMark/>
          </w:tcPr>
          <w:p w14:paraId="67BCFEAD" w14:textId="77777777" w:rsidR="0022543A" w:rsidRPr="004A2923" w:rsidRDefault="0022543A" w:rsidP="009A1309">
            <w:pPr>
              <w:jc w:val="right"/>
            </w:pPr>
            <w:r w:rsidRPr="004A2923">
              <w:t>69.999,92</w:t>
            </w:r>
          </w:p>
        </w:tc>
        <w:tc>
          <w:tcPr>
            <w:tcW w:w="1742" w:type="dxa"/>
            <w:noWrap/>
            <w:hideMark/>
          </w:tcPr>
          <w:p w14:paraId="588320D7" w14:textId="77777777" w:rsidR="0022543A" w:rsidRPr="004A2923" w:rsidRDefault="0022543A" w:rsidP="009A1309">
            <w:pPr>
              <w:jc w:val="center"/>
            </w:pPr>
            <w:r w:rsidRPr="004A2923">
              <w:t>133,30</w:t>
            </w:r>
          </w:p>
        </w:tc>
      </w:tr>
    </w:tbl>
    <w:p w14:paraId="5C64B7A6" w14:textId="77777777" w:rsidR="006A7689" w:rsidRPr="004A2923" w:rsidRDefault="006A7689" w:rsidP="00DB0776"/>
    <w:bookmarkEnd w:id="4"/>
    <w:p w14:paraId="1EE64196" w14:textId="77777777" w:rsidR="00406F98" w:rsidRPr="004A2923" w:rsidRDefault="006A7689" w:rsidP="009A1309">
      <w:pPr>
        <w:jc w:val="both"/>
      </w:pPr>
      <w:r w:rsidRPr="004A2923">
        <w:lastRenderedPageBreak/>
        <w:t>U 20</w:t>
      </w:r>
      <w:r w:rsidR="00406F98" w:rsidRPr="004A2923">
        <w:t>2</w:t>
      </w:r>
      <w:r w:rsidR="0022543A" w:rsidRPr="004A2923">
        <w:t>2</w:t>
      </w:r>
      <w:r w:rsidRPr="004A2923">
        <w:t xml:space="preserve">. godini ostvarene </w:t>
      </w:r>
      <w:r w:rsidR="009A1309">
        <w:t xml:space="preserve">su </w:t>
      </w:r>
      <w:r w:rsidRPr="004A2923">
        <w:t>na</w:t>
      </w:r>
      <w:r w:rsidR="00F0505C" w:rsidRPr="004A2923">
        <w:t>kna</w:t>
      </w:r>
      <w:r w:rsidRPr="004A2923">
        <w:t xml:space="preserve">de građanima u iznosu od </w:t>
      </w:r>
      <w:r w:rsidR="0022543A" w:rsidRPr="004A2923">
        <w:t>69.999,92</w:t>
      </w:r>
      <w:r w:rsidR="009A1309">
        <w:t xml:space="preserve"> kn</w:t>
      </w:r>
      <w:r w:rsidR="0022543A" w:rsidRPr="004A2923">
        <w:t xml:space="preserve"> </w:t>
      </w:r>
      <w:r w:rsidRPr="004A2923">
        <w:t>što je u odnosu na</w:t>
      </w:r>
      <w:r w:rsidR="009A1309">
        <w:t xml:space="preserve"> isto razdoblje </w:t>
      </w:r>
      <w:r w:rsidR="000827B4" w:rsidRPr="004A2923">
        <w:t>202</w:t>
      </w:r>
      <w:r w:rsidR="0022543A" w:rsidRPr="004A2923">
        <w:t>1</w:t>
      </w:r>
      <w:r w:rsidRPr="004A2923">
        <w:t>. godin</w:t>
      </w:r>
      <w:r w:rsidR="009A1309">
        <w:t>e</w:t>
      </w:r>
      <w:r w:rsidRPr="004A2923">
        <w:t xml:space="preserve"> </w:t>
      </w:r>
      <w:r w:rsidR="0022543A" w:rsidRPr="004A2923">
        <w:t>više</w:t>
      </w:r>
      <w:r w:rsidR="009A1309">
        <w:t xml:space="preserve"> za 33,30</w:t>
      </w:r>
      <w:r w:rsidR="00B859F8">
        <w:t xml:space="preserve"> %</w:t>
      </w:r>
      <w:r w:rsidR="009A1309">
        <w:t xml:space="preserve"> </w:t>
      </w:r>
      <w:r w:rsidR="0022543A" w:rsidRPr="004A2923">
        <w:t>zbog povećanog broja stipendista.</w:t>
      </w:r>
      <w:r w:rsidR="00406F98" w:rsidRPr="004A2923">
        <w:t xml:space="preserve"> </w:t>
      </w:r>
    </w:p>
    <w:p w14:paraId="026EC8A6" w14:textId="77777777" w:rsidR="00162EE3" w:rsidRPr="004A2923" w:rsidRDefault="00162EE3" w:rsidP="00DB0776"/>
    <w:p w14:paraId="6F1441C6" w14:textId="77777777" w:rsidR="00796FD1" w:rsidRPr="004A2923" w:rsidRDefault="00796FD1" w:rsidP="00DB0776">
      <w:pPr>
        <w:rPr>
          <w:b/>
          <w:bCs/>
        </w:rPr>
      </w:pPr>
      <w:r w:rsidRPr="004A2923">
        <w:rPr>
          <w:b/>
          <w:bCs/>
        </w:rPr>
        <w:t xml:space="preserve">Bilješka </w:t>
      </w:r>
      <w:r w:rsidR="00D8349B" w:rsidRPr="004A2923">
        <w:rPr>
          <w:b/>
          <w:bCs/>
        </w:rPr>
        <w:t>1</w:t>
      </w:r>
      <w:r w:rsidR="00CF12B0">
        <w:rPr>
          <w:b/>
          <w:bCs/>
        </w:rPr>
        <w:t>3</w:t>
      </w:r>
      <w:r w:rsidRPr="004A2923">
        <w:rPr>
          <w:b/>
          <w:bCs/>
        </w:rPr>
        <w:t xml:space="preserve">. Rashodi za nabavu nefinancijske imovine </w:t>
      </w:r>
      <w:r w:rsidR="009A1309">
        <w:rPr>
          <w:b/>
          <w:bCs/>
        </w:rPr>
        <w:t>(u kn)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448"/>
        <w:gridCol w:w="1386"/>
        <w:gridCol w:w="1498"/>
        <w:gridCol w:w="1464"/>
      </w:tblGrid>
      <w:tr w:rsidR="00BB6982" w:rsidRPr="004A2923" w14:paraId="45D94E57" w14:textId="77777777" w:rsidTr="00CF12B0">
        <w:trPr>
          <w:trHeight w:val="286"/>
        </w:trPr>
        <w:tc>
          <w:tcPr>
            <w:tcW w:w="988" w:type="dxa"/>
            <w:hideMark/>
          </w:tcPr>
          <w:p w14:paraId="772C2EFB" w14:textId="77777777" w:rsidR="00BB6982" w:rsidRPr="004A2923" w:rsidRDefault="00BB6982" w:rsidP="009A1309">
            <w:pPr>
              <w:jc w:val="center"/>
            </w:pPr>
            <w:r w:rsidRPr="004A2923">
              <w:t>RAZRED</w:t>
            </w:r>
          </w:p>
        </w:tc>
        <w:tc>
          <w:tcPr>
            <w:tcW w:w="3448" w:type="dxa"/>
            <w:hideMark/>
          </w:tcPr>
          <w:p w14:paraId="7513533C" w14:textId="77777777" w:rsidR="00BB6982" w:rsidRPr="004A2923" w:rsidRDefault="00BB6982" w:rsidP="009A1309">
            <w:pPr>
              <w:jc w:val="center"/>
            </w:pPr>
            <w:r w:rsidRPr="004A2923">
              <w:t>NAZIV</w:t>
            </w:r>
          </w:p>
        </w:tc>
        <w:tc>
          <w:tcPr>
            <w:tcW w:w="1386" w:type="dxa"/>
            <w:noWrap/>
            <w:hideMark/>
          </w:tcPr>
          <w:p w14:paraId="016D0EF9" w14:textId="77777777" w:rsidR="00BB6982" w:rsidRPr="004A2923" w:rsidRDefault="00BB6982" w:rsidP="009A1309">
            <w:pPr>
              <w:jc w:val="center"/>
            </w:pPr>
            <w:r w:rsidRPr="004A2923">
              <w:t>2021</w:t>
            </w:r>
          </w:p>
        </w:tc>
        <w:tc>
          <w:tcPr>
            <w:tcW w:w="1498" w:type="dxa"/>
            <w:noWrap/>
            <w:hideMark/>
          </w:tcPr>
          <w:p w14:paraId="4FE428C5" w14:textId="77777777" w:rsidR="00BB6982" w:rsidRPr="004A2923" w:rsidRDefault="00BB6982" w:rsidP="009A1309">
            <w:pPr>
              <w:jc w:val="center"/>
            </w:pPr>
            <w:r w:rsidRPr="004A2923">
              <w:t>2022</w:t>
            </w:r>
          </w:p>
        </w:tc>
        <w:tc>
          <w:tcPr>
            <w:tcW w:w="1464" w:type="dxa"/>
            <w:noWrap/>
            <w:hideMark/>
          </w:tcPr>
          <w:p w14:paraId="7EFCDDE3" w14:textId="77777777" w:rsidR="00BB6982" w:rsidRPr="004A2923" w:rsidRDefault="00BB6982" w:rsidP="009A1309">
            <w:pPr>
              <w:jc w:val="center"/>
            </w:pPr>
            <w:r w:rsidRPr="004A2923">
              <w:t>INDEKS</w:t>
            </w:r>
          </w:p>
        </w:tc>
      </w:tr>
      <w:tr w:rsidR="00BB6982" w:rsidRPr="004A2923" w14:paraId="7EB84F55" w14:textId="77777777" w:rsidTr="00CF12B0">
        <w:trPr>
          <w:trHeight w:val="545"/>
        </w:trPr>
        <w:tc>
          <w:tcPr>
            <w:tcW w:w="988" w:type="dxa"/>
            <w:noWrap/>
            <w:hideMark/>
          </w:tcPr>
          <w:p w14:paraId="3C9F49A1" w14:textId="77777777" w:rsidR="00BB6982" w:rsidRPr="004A2923" w:rsidRDefault="00BB6982" w:rsidP="000D24CD">
            <w:r w:rsidRPr="004A2923">
              <w:t>4</w:t>
            </w:r>
          </w:p>
        </w:tc>
        <w:tc>
          <w:tcPr>
            <w:tcW w:w="3448" w:type="dxa"/>
            <w:hideMark/>
          </w:tcPr>
          <w:p w14:paraId="45D88027" w14:textId="77777777" w:rsidR="00BB6982" w:rsidRPr="004A2923" w:rsidRDefault="00BB6982" w:rsidP="000D24CD">
            <w:r w:rsidRPr="004A2923">
              <w:t xml:space="preserve">Rashodi  za nabavu nefinancijske imovine </w:t>
            </w:r>
          </w:p>
        </w:tc>
        <w:tc>
          <w:tcPr>
            <w:tcW w:w="1386" w:type="dxa"/>
            <w:noWrap/>
            <w:hideMark/>
          </w:tcPr>
          <w:p w14:paraId="1DB929C4" w14:textId="77777777" w:rsidR="00BB6982" w:rsidRPr="004A2923" w:rsidRDefault="00BB6982" w:rsidP="009A1309">
            <w:pPr>
              <w:jc w:val="right"/>
            </w:pPr>
            <w:r w:rsidRPr="004A2923">
              <w:t>1.307.382</w:t>
            </w:r>
            <w:r w:rsidR="009A1309">
              <w:t>,00</w:t>
            </w:r>
          </w:p>
        </w:tc>
        <w:tc>
          <w:tcPr>
            <w:tcW w:w="1498" w:type="dxa"/>
            <w:noWrap/>
            <w:hideMark/>
          </w:tcPr>
          <w:p w14:paraId="6384169F" w14:textId="77777777" w:rsidR="00BB6982" w:rsidRPr="004A2923" w:rsidRDefault="00BB6982" w:rsidP="009A1309">
            <w:pPr>
              <w:jc w:val="right"/>
            </w:pPr>
            <w:r w:rsidRPr="004A2923">
              <w:t>12.755.134,34</w:t>
            </w:r>
          </w:p>
        </w:tc>
        <w:tc>
          <w:tcPr>
            <w:tcW w:w="1464" w:type="dxa"/>
            <w:noWrap/>
            <w:hideMark/>
          </w:tcPr>
          <w:p w14:paraId="5D64CA78" w14:textId="77777777" w:rsidR="00BB6982" w:rsidRPr="004A2923" w:rsidRDefault="00BB6982" w:rsidP="009A1309">
            <w:pPr>
              <w:jc w:val="center"/>
            </w:pPr>
            <w:r w:rsidRPr="004A2923">
              <w:t>975,60</w:t>
            </w:r>
          </w:p>
        </w:tc>
      </w:tr>
    </w:tbl>
    <w:p w14:paraId="7FC865BD" w14:textId="77777777" w:rsidR="00796FD1" w:rsidRDefault="00796FD1" w:rsidP="001F7CF7">
      <w:pPr>
        <w:jc w:val="both"/>
      </w:pPr>
      <w:r w:rsidRPr="004A2923">
        <w:t xml:space="preserve">Rashodi za nabavu nefinancijske imovine </w:t>
      </w:r>
      <w:r w:rsidR="009A1309">
        <w:t xml:space="preserve">tijekom </w:t>
      </w:r>
      <w:r w:rsidRPr="004A2923">
        <w:t>20</w:t>
      </w:r>
      <w:r w:rsidR="00CD7E54" w:rsidRPr="004A2923">
        <w:t>2</w:t>
      </w:r>
      <w:r w:rsidR="0022543A" w:rsidRPr="004A2923">
        <w:t>2</w:t>
      </w:r>
      <w:r w:rsidRPr="004A2923">
        <w:t xml:space="preserve">. godini </w:t>
      </w:r>
      <w:r w:rsidR="009A1309">
        <w:t xml:space="preserve">značajno odstupaju u odnosu na isto razdoblje tijekom 2021. godine i to zbog radova na lokaciji </w:t>
      </w:r>
      <w:proofErr w:type="spellStart"/>
      <w:r w:rsidR="009A1309">
        <w:t>Adžijina</w:t>
      </w:r>
      <w:proofErr w:type="spellEnd"/>
      <w:r w:rsidR="009A1309">
        <w:t xml:space="preserve"> te započetim radovima na zgradi Hrvatskog narodnog kazališta, projekt za obnovu (rashodi za građevinske objekte 11.320.449,44 kn) te za kupnju instrumenata (677.773,30 kn) potrebni za provedbu programa. </w:t>
      </w:r>
    </w:p>
    <w:p w14:paraId="45F3F939" w14:textId="77777777" w:rsidR="00F31546" w:rsidRPr="004A2923" w:rsidRDefault="00F31546" w:rsidP="001F7CF7">
      <w:pPr>
        <w:jc w:val="both"/>
      </w:pPr>
    </w:p>
    <w:p w14:paraId="3BACD966" w14:textId="77777777" w:rsidR="00F31546" w:rsidRPr="004A2923" w:rsidRDefault="00F31546" w:rsidP="00F31546">
      <w:pPr>
        <w:jc w:val="center"/>
        <w:rPr>
          <w:b/>
          <w:bCs/>
        </w:rPr>
      </w:pPr>
      <w:r w:rsidRPr="004A2923">
        <w:rPr>
          <w:b/>
          <w:bCs/>
        </w:rPr>
        <w:t xml:space="preserve">OBRAZLOŽENJE UZ OBRAZAC </w:t>
      </w:r>
      <w:r>
        <w:rPr>
          <w:b/>
          <w:bCs/>
        </w:rPr>
        <w:t>PVRIO</w:t>
      </w:r>
    </w:p>
    <w:p w14:paraId="711CE1CA" w14:textId="77777777" w:rsidR="000E6D05" w:rsidRPr="004A2923" w:rsidRDefault="000E6D05" w:rsidP="00DB0776"/>
    <w:p w14:paraId="7C0EE403" w14:textId="77777777" w:rsidR="000E6D05" w:rsidRPr="004A2923" w:rsidRDefault="00796FD1" w:rsidP="00DB0776">
      <w:pPr>
        <w:rPr>
          <w:b/>
          <w:bCs/>
        </w:rPr>
      </w:pPr>
      <w:r w:rsidRPr="004A2923">
        <w:rPr>
          <w:b/>
          <w:bCs/>
        </w:rPr>
        <w:t xml:space="preserve">Bilješka </w:t>
      </w:r>
      <w:r w:rsidR="00FD0A23" w:rsidRPr="004A2923">
        <w:rPr>
          <w:b/>
          <w:bCs/>
        </w:rPr>
        <w:t>1</w:t>
      </w:r>
      <w:r w:rsidR="00CF12B0">
        <w:rPr>
          <w:b/>
          <w:bCs/>
        </w:rPr>
        <w:t>4</w:t>
      </w:r>
      <w:r w:rsidR="00FD0A23" w:rsidRPr="004A2923">
        <w:rPr>
          <w:b/>
          <w:bCs/>
        </w:rPr>
        <w:t xml:space="preserve"> </w:t>
      </w:r>
      <w:r w:rsidRPr="004A2923">
        <w:rPr>
          <w:b/>
          <w:bCs/>
        </w:rPr>
        <w:t xml:space="preserve">. </w:t>
      </w:r>
    </w:p>
    <w:p w14:paraId="624E3B01" w14:textId="77777777" w:rsidR="000E6D05" w:rsidRDefault="000E6D05" w:rsidP="00DB0776">
      <w:r w:rsidRPr="004A2923">
        <w:t xml:space="preserve">U </w:t>
      </w:r>
      <w:r w:rsidR="007C192A">
        <w:t xml:space="preserve">obrascu </w:t>
      </w:r>
      <w:r w:rsidRPr="004A2923">
        <w:t>PVRIO nije bilo promjena</w:t>
      </w:r>
      <w:r w:rsidR="00A816AF" w:rsidRPr="004A2923">
        <w:t>.</w:t>
      </w:r>
      <w:r w:rsidR="00116A53" w:rsidRPr="004A2923">
        <w:t xml:space="preserve"> </w:t>
      </w:r>
    </w:p>
    <w:p w14:paraId="6E3A6F33" w14:textId="77777777" w:rsidR="00F31546" w:rsidRPr="004A2923" w:rsidRDefault="00F31546" w:rsidP="00DB0776"/>
    <w:p w14:paraId="52C8EF90" w14:textId="77777777" w:rsidR="00F31546" w:rsidRPr="004A2923" w:rsidRDefault="00F31546" w:rsidP="00F31546">
      <w:pPr>
        <w:jc w:val="center"/>
        <w:rPr>
          <w:b/>
          <w:bCs/>
        </w:rPr>
      </w:pPr>
      <w:r w:rsidRPr="004A2923">
        <w:rPr>
          <w:b/>
          <w:bCs/>
        </w:rPr>
        <w:t xml:space="preserve">OBRAZLOŽENJE UZ OBRAZAC </w:t>
      </w:r>
      <w:r>
        <w:rPr>
          <w:b/>
          <w:bCs/>
        </w:rPr>
        <w:t>RASF</w:t>
      </w:r>
    </w:p>
    <w:p w14:paraId="019B40DB" w14:textId="77777777" w:rsidR="00F5433C" w:rsidRDefault="00F5433C" w:rsidP="00DB0776">
      <w:pPr>
        <w:rPr>
          <w:b/>
          <w:bCs/>
        </w:rPr>
      </w:pPr>
    </w:p>
    <w:p w14:paraId="3C13C75C" w14:textId="77777777" w:rsidR="000E6D05" w:rsidRPr="004A2923" w:rsidRDefault="006A20F0" w:rsidP="00DB0776">
      <w:pPr>
        <w:rPr>
          <w:b/>
          <w:bCs/>
        </w:rPr>
      </w:pPr>
      <w:r w:rsidRPr="004A2923">
        <w:rPr>
          <w:b/>
          <w:bCs/>
        </w:rPr>
        <w:t>Bilješka 1</w:t>
      </w:r>
      <w:r w:rsidR="00CF12B0">
        <w:rPr>
          <w:b/>
          <w:bCs/>
        </w:rPr>
        <w:t>5</w:t>
      </w:r>
      <w:r w:rsidRPr="004A2923">
        <w:rPr>
          <w:b/>
          <w:bCs/>
        </w:rPr>
        <w:t xml:space="preserve">. </w:t>
      </w:r>
      <w:r w:rsidR="001F7CF7">
        <w:rPr>
          <w:b/>
          <w:bCs/>
        </w:rPr>
        <w:t>(u kn)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988"/>
        <w:gridCol w:w="3155"/>
        <w:gridCol w:w="1609"/>
        <w:gridCol w:w="1609"/>
        <w:gridCol w:w="1423"/>
      </w:tblGrid>
      <w:tr w:rsidR="001F7CF7" w:rsidRPr="004A2923" w14:paraId="01299260" w14:textId="77777777" w:rsidTr="00CF12B0">
        <w:trPr>
          <w:trHeight w:val="355"/>
        </w:trPr>
        <w:tc>
          <w:tcPr>
            <w:tcW w:w="988" w:type="dxa"/>
            <w:hideMark/>
          </w:tcPr>
          <w:p w14:paraId="5DD3D7EF" w14:textId="77777777" w:rsidR="001F7CF7" w:rsidRPr="004A2923" w:rsidRDefault="001F7CF7" w:rsidP="001F7CF7">
            <w:pPr>
              <w:jc w:val="center"/>
            </w:pPr>
            <w:r w:rsidRPr="004A2923">
              <w:t>RAZRED</w:t>
            </w:r>
          </w:p>
        </w:tc>
        <w:tc>
          <w:tcPr>
            <w:tcW w:w="3155" w:type="dxa"/>
            <w:hideMark/>
          </w:tcPr>
          <w:p w14:paraId="230FC404" w14:textId="77777777" w:rsidR="001F7CF7" w:rsidRPr="004A2923" w:rsidRDefault="001F7CF7" w:rsidP="001F7CF7">
            <w:pPr>
              <w:jc w:val="center"/>
            </w:pPr>
            <w:r w:rsidRPr="004A2923">
              <w:t>NAZIV</w:t>
            </w:r>
          </w:p>
        </w:tc>
        <w:tc>
          <w:tcPr>
            <w:tcW w:w="1609" w:type="dxa"/>
            <w:noWrap/>
            <w:hideMark/>
          </w:tcPr>
          <w:p w14:paraId="2EDF9F47" w14:textId="77777777" w:rsidR="001F7CF7" w:rsidRPr="004A2923" w:rsidRDefault="001F7CF7" w:rsidP="001F7CF7">
            <w:pPr>
              <w:jc w:val="center"/>
            </w:pPr>
            <w:r w:rsidRPr="004A2923">
              <w:t>2021</w:t>
            </w:r>
          </w:p>
        </w:tc>
        <w:tc>
          <w:tcPr>
            <w:tcW w:w="1609" w:type="dxa"/>
            <w:noWrap/>
            <w:hideMark/>
          </w:tcPr>
          <w:p w14:paraId="53EE27C1" w14:textId="77777777" w:rsidR="001F7CF7" w:rsidRPr="004A2923" w:rsidRDefault="001F7CF7" w:rsidP="001F7CF7">
            <w:pPr>
              <w:jc w:val="center"/>
            </w:pPr>
            <w:r w:rsidRPr="004A2923">
              <w:t>2022</w:t>
            </w:r>
          </w:p>
        </w:tc>
        <w:tc>
          <w:tcPr>
            <w:tcW w:w="1423" w:type="dxa"/>
          </w:tcPr>
          <w:p w14:paraId="72780375" w14:textId="77777777" w:rsidR="001F7CF7" w:rsidRPr="004A2923" w:rsidRDefault="001F7CF7" w:rsidP="001F7CF7">
            <w:pPr>
              <w:jc w:val="center"/>
            </w:pPr>
            <w:r w:rsidRPr="004A2923">
              <w:t>INDEKS</w:t>
            </w:r>
          </w:p>
        </w:tc>
      </w:tr>
      <w:tr w:rsidR="001F7CF7" w:rsidRPr="004A2923" w14:paraId="63540E4B" w14:textId="77777777" w:rsidTr="00CF12B0">
        <w:trPr>
          <w:trHeight w:val="418"/>
        </w:trPr>
        <w:tc>
          <w:tcPr>
            <w:tcW w:w="988" w:type="dxa"/>
            <w:noWrap/>
            <w:hideMark/>
          </w:tcPr>
          <w:p w14:paraId="32E10B86" w14:textId="77777777" w:rsidR="001F7CF7" w:rsidRPr="004A2923" w:rsidRDefault="001F7CF7" w:rsidP="00BC44FB">
            <w:r w:rsidRPr="004A2923">
              <w:t>3+4</w:t>
            </w:r>
          </w:p>
        </w:tc>
        <w:tc>
          <w:tcPr>
            <w:tcW w:w="3155" w:type="dxa"/>
            <w:hideMark/>
          </w:tcPr>
          <w:p w14:paraId="7E83D251" w14:textId="77777777" w:rsidR="001F7CF7" w:rsidRPr="004A2923" w:rsidRDefault="001F7CF7" w:rsidP="00BC44FB">
            <w:r w:rsidRPr="004A2923">
              <w:t xml:space="preserve">Služba kulture </w:t>
            </w:r>
          </w:p>
        </w:tc>
        <w:tc>
          <w:tcPr>
            <w:tcW w:w="1609" w:type="dxa"/>
            <w:noWrap/>
            <w:hideMark/>
          </w:tcPr>
          <w:p w14:paraId="22287370" w14:textId="77777777" w:rsidR="001F7CF7" w:rsidRPr="004A2923" w:rsidRDefault="001F7CF7" w:rsidP="00BC44FB">
            <w:r w:rsidRPr="004A2923">
              <w:t>101.497.563</w:t>
            </w:r>
            <w:r>
              <w:t>,00</w:t>
            </w:r>
          </w:p>
        </w:tc>
        <w:tc>
          <w:tcPr>
            <w:tcW w:w="1609" w:type="dxa"/>
            <w:noWrap/>
            <w:hideMark/>
          </w:tcPr>
          <w:p w14:paraId="04E15141" w14:textId="77777777" w:rsidR="001F7CF7" w:rsidRPr="004A2923" w:rsidRDefault="00B92E98" w:rsidP="00BC44FB">
            <w:r>
              <w:t>136.902.528,37</w:t>
            </w:r>
          </w:p>
        </w:tc>
        <w:tc>
          <w:tcPr>
            <w:tcW w:w="1423" w:type="dxa"/>
          </w:tcPr>
          <w:p w14:paraId="52F6DB9E" w14:textId="77777777" w:rsidR="001F7CF7" w:rsidRPr="004A2923" w:rsidRDefault="001F7CF7" w:rsidP="001F7CF7">
            <w:pPr>
              <w:jc w:val="center"/>
            </w:pPr>
            <w:r w:rsidRPr="004A2923">
              <w:t>134,90</w:t>
            </w:r>
          </w:p>
        </w:tc>
      </w:tr>
    </w:tbl>
    <w:p w14:paraId="2AB5418B" w14:textId="77777777" w:rsidR="00481C53" w:rsidRDefault="00481C53" w:rsidP="00DB0776"/>
    <w:p w14:paraId="06A0335D" w14:textId="77777777" w:rsidR="00116A53" w:rsidRDefault="00C17EC1" w:rsidP="00DB0776">
      <w:r w:rsidRPr="004A2923">
        <w:t>Ukupni rashodi u obrascu RASF su u 202</w:t>
      </w:r>
      <w:r w:rsidR="004A2923" w:rsidRPr="004A2923">
        <w:t>2</w:t>
      </w:r>
      <w:r w:rsidRPr="004A2923">
        <w:t xml:space="preserve"> </w:t>
      </w:r>
      <w:r w:rsidR="00682476" w:rsidRPr="004A2923">
        <w:t>veći</w:t>
      </w:r>
      <w:r w:rsidRPr="004A2923">
        <w:t xml:space="preserve"> za </w:t>
      </w:r>
      <w:r w:rsidR="004A2923" w:rsidRPr="004A2923">
        <w:t>34,90</w:t>
      </w:r>
      <w:r w:rsidR="001F7CF7">
        <w:t xml:space="preserve"> </w:t>
      </w:r>
      <w:r w:rsidR="00B859F8">
        <w:t xml:space="preserve"> %</w:t>
      </w:r>
      <w:r w:rsidR="001F7CF7">
        <w:t xml:space="preserve">, a struktura </w:t>
      </w:r>
      <w:r w:rsidR="00116A53" w:rsidRPr="004A2923">
        <w:t>povećan</w:t>
      </w:r>
      <w:r w:rsidR="001F7CF7">
        <w:t xml:space="preserve">ih pozicija rashoda detaljnije je objašnjena u bilješkama br. </w:t>
      </w:r>
      <w:r w:rsidR="00CF12B0">
        <w:t xml:space="preserve">9. - </w:t>
      </w:r>
      <w:r w:rsidR="001F7CF7">
        <w:t>1</w:t>
      </w:r>
      <w:r w:rsidR="00CF12B0">
        <w:t>3</w:t>
      </w:r>
      <w:r w:rsidR="001F7CF7">
        <w:t xml:space="preserve">. </w:t>
      </w:r>
    </w:p>
    <w:p w14:paraId="4ADF1D4C" w14:textId="77777777" w:rsidR="00F5433C" w:rsidRPr="004A2923" w:rsidRDefault="00F5433C" w:rsidP="00DB0776"/>
    <w:p w14:paraId="6C73D462" w14:textId="77777777" w:rsidR="00F5433C" w:rsidRPr="004A2923" w:rsidRDefault="00F5433C" w:rsidP="00F5433C">
      <w:pPr>
        <w:jc w:val="center"/>
        <w:rPr>
          <w:b/>
          <w:bCs/>
        </w:rPr>
      </w:pPr>
      <w:r w:rsidRPr="004A2923">
        <w:rPr>
          <w:b/>
          <w:bCs/>
        </w:rPr>
        <w:t xml:space="preserve">OBRAZLOŽENJE UZ OBRAZAC </w:t>
      </w:r>
      <w:r>
        <w:rPr>
          <w:b/>
          <w:bCs/>
        </w:rPr>
        <w:t>BILANCA</w:t>
      </w:r>
    </w:p>
    <w:p w14:paraId="32A7A365" w14:textId="77777777" w:rsidR="00657ABB" w:rsidRPr="004A2923" w:rsidRDefault="00657ABB" w:rsidP="00DB0776">
      <w:pPr>
        <w:rPr>
          <w:b/>
          <w:bCs/>
        </w:rPr>
      </w:pPr>
    </w:p>
    <w:p w14:paraId="643433D4" w14:textId="77777777" w:rsidR="000E6D05" w:rsidRPr="004A2923" w:rsidRDefault="000A054C" w:rsidP="00DB0776">
      <w:r w:rsidRPr="004A2923">
        <w:rPr>
          <w:b/>
          <w:bCs/>
        </w:rPr>
        <w:t xml:space="preserve">Bilješka </w:t>
      </w:r>
      <w:r w:rsidR="000A1B71">
        <w:rPr>
          <w:b/>
          <w:bCs/>
        </w:rPr>
        <w:t xml:space="preserve">br. </w:t>
      </w:r>
      <w:r w:rsidRPr="004A2923">
        <w:rPr>
          <w:b/>
          <w:bCs/>
        </w:rPr>
        <w:t>1</w:t>
      </w:r>
      <w:r w:rsidR="00CF12B0">
        <w:rPr>
          <w:b/>
          <w:bCs/>
        </w:rPr>
        <w:t>6</w:t>
      </w:r>
      <w:r w:rsidRPr="004A2923">
        <w:rPr>
          <w:b/>
          <w:bCs/>
        </w:rPr>
        <w:t>.</w:t>
      </w:r>
      <w:r w:rsidR="000A1B71">
        <w:rPr>
          <w:b/>
          <w:bCs/>
        </w:rPr>
        <w:t xml:space="preserve"> </w:t>
      </w:r>
    </w:p>
    <w:p w14:paraId="41B53990" w14:textId="77777777" w:rsidR="00353BEA" w:rsidRDefault="000E6D05" w:rsidP="00DB0776">
      <w:r w:rsidRPr="004A2923">
        <w:t>H</w:t>
      </w:r>
      <w:r w:rsidR="000A1B71">
        <w:t xml:space="preserve">rvatsko narodno kazalište na dan 31.12.2022. godine ima ukupan iznos </w:t>
      </w:r>
      <w:r w:rsidRPr="004A2923">
        <w:t>aktiv</w:t>
      </w:r>
      <w:r w:rsidR="000A1B71">
        <w:t xml:space="preserve">e </w:t>
      </w:r>
      <w:r w:rsidRPr="004A2923">
        <w:t>i pasiv</w:t>
      </w:r>
      <w:r w:rsidR="000A1B71">
        <w:t>e</w:t>
      </w:r>
      <w:r w:rsidRPr="004A2923">
        <w:t xml:space="preserve"> u </w:t>
      </w:r>
      <w:r w:rsidR="000A1B71">
        <w:t xml:space="preserve">iznosu </w:t>
      </w:r>
      <w:r w:rsidRPr="004A2923">
        <w:t xml:space="preserve">od </w:t>
      </w:r>
      <w:r w:rsidR="00CF12B0">
        <w:t>109.733.392,31 kn</w:t>
      </w:r>
      <w:r w:rsidR="000A1B71">
        <w:t>, što je u odnosu na isto razdoblje 2021. godine povećanje 16,50</w:t>
      </w:r>
      <w:r w:rsidR="00B859F8">
        <w:t xml:space="preserve"> %</w:t>
      </w:r>
      <w:r w:rsidR="000A1B71">
        <w:t>. U nastavku se daje detaljniji prikaz pasive (svi iznosi u kn).</w:t>
      </w:r>
    </w:p>
    <w:p w14:paraId="606E1237" w14:textId="77777777" w:rsidR="009B683B" w:rsidRPr="004A2923" w:rsidRDefault="009B683B" w:rsidP="00DB077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1559"/>
        <w:gridCol w:w="1701"/>
        <w:gridCol w:w="1418"/>
      </w:tblGrid>
      <w:tr w:rsidR="000A1B71" w:rsidRPr="004A2923" w14:paraId="33A83E64" w14:textId="77777777" w:rsidTr="000A1B71">
        <w:trPr>
          <w:trHeight w:val="315"/>
        </w:trPr>
        <w:tc>
          <w:tcPr>
            <w:tcW w:w="988" w:type="dxa"/>
          </w:tcPr>
          <w:p w14:paraId="79BDBE10" w14:textId="77777777" w:rsidR="000A1B71" w:rsidRPr="004A2923" w:rsidRDefault="000A1B71" w:rsidP="000A1B71">
            <w:pPr>
              <w:jc w:val="center"/>
            </w:pPr>
            <w:r>
              <w:t>RAZRED</w:t>
            </w:r>
          </w:p>
        </w:tc>
        <w:tc>
          <w:tcPr>
            <w:tcW w:w="3118" w:type="dxa"/>
            <w:hideMark/>
          </w:tcPr>
          <w:p w14:paraId="7F317634" w14:textId="77777777" w:rsidR="000A1B71" w:rsidRPr="004A2923" w:rsidRDefault="000A1B71" w:rsidP="000A1B71">
            <w:pPr>
              <w:spacing w:after="160" w:line="259" w:lineRule="auto"/>
              <w:jc w:val="center"/>
            </w:pPr>
            <w:r w:rsidRPr="004A2923">
              <w:t>NAZIV</w:t>
            </w:r>
          </w:p>
        </w:tc>
        <w:tc>
          <w:tcPr>
            <w:tcW w:w="1559" w:type="dxa"/>
            <w:noWrap/>
            <w:hideMark/>
          </w:tcPr>
          <w:p w14:paraId="2790959D" w14:textId="77777777" w:rsidR="000A1B71" w:rsidRPr="004A2923" w:rsidRDefault="000A1B71" w:rsidP="000A1B71">
            <w:pPr>
              <w:spacing w:after="160" w:line="259" w:lineRule="auto"/>
              <w:jc w:val="center"/>
            </w:pPr>
            <w:r w:rsidRPr="004A2923">
              <w:t>2021</w:t>
            </w:r>
          </w:p>
        </w:tc>
        <w:tc>
          <w:tcPr>
            <w:tcW w:w="1701" w:type="dxa"/>
            <w:noWrap/>
            <w:hideMark/>
          </w:tcPr>
          <w:p w14:paraId="70C87116" w14:textId="77777777" w:rsidR="000A1B71" w:rsidRPr="004A2923" w:rsidRDefault="000A1B71" w:rsidP="000A1B71">
            <w:pPr>
              <w:spacing w:after="160" w:line="259" w:lineRule="auto"/>
              <w:jc w:val="center"/>
            </w:pPr>
            <w:r w:rsidRPr="004A2923">
              <w:t>2022</w:t>
            </w:r>
          </w:p>
        </w:tc>
        <w:tc>
          <w:tcPr>
            <w:tcW w:w="1418" w:type="dxa"/>
            <w:noWrap/>
            <w:hideMark/>
          </w:tcPr>
          <w:p w14:paraId="54A75D04" w14:textId="77777777" w:rsidR="000A1B71" w:rsidRPr="004A2923" w:rsidRDefault="000A1B71" w:rsidP="000A1B71">
            <w:pPr>
              <w:spacing w:after="160" w:line="259" w:lineRule="auto"/>
              <w:jc w:val="center"/>
            </w:pPr>
            <w:r w:rsidRPr="004A2923">
              <w:t>INDEKS</w:t>
            </w:r>
          </w:p>
        </w:tc>
      </w:tr>
      <w:tr w:rsidR="000A1B71" w:rsidRPr="004A2923" w14:paraId="7579E00B" w14:textId="77777777" w:rsidTr="000A1B71">
        <w:trPr>
          <w:trHeight w:val="315"/>
        </w:trPr>
        <w:tc>
          <w:tcPr>
            <w:tcW w:w="988" w:type="dxa"/>
          </w:tcPr>
          <w:p w14:paraId="586E574C" w14:textId="77777777" w:rsidR="000A1B71" w:rsidRPr="004A2923" w:rsidRDefault="000A1B71"/>
        </w:tc>
        <w:tc>
          <w:tcPr>
            <w:tcW w:w="3118" w:type="dxa"/>
            <w:hideMark/>
          </w:tcPr>
          <w:p w14:paraId="1C17D7B4" w14:textId="77777777" w:rsidR="000A1B71" w:rsidRPr="004A2923" w:rsidRDefault="000A1B71">
            <w:r w:rsidRPr="004A2923">
              <w:t>Obveze</w:t>
            </w:r>
            <w:r>
              <w:t xml:space="preserve"> i vlastiti izvori </w:t>
            </w:r>
          </w:p>
        </w:tc>
        <w:tc>
          <w:tcPr>
            <w:tcW w:w="1559" w:type="dxa"/>
            <w:noWrap/>
          </w:tcPr>
          <w:p w14:paraId="59BAC6BE" w14:textId="77777777" w:rsidR="000A1B71" w:rsidRPr="004A2923" w:rsidRDefault="000A1B71" w:rsidP="000A1B71">
            <w:pPr>
              <w:jc w:val="right"/>
            </w:pPr>
            <w:r>
              <w:t>94.169.617,00</w:t>
            </w:r>
          </w:p>
        </w:tc>
        <w:tc>
          <w:tcPr>
            <w:tcW w:w="1701" w:type="dxa"/>
            <w:noWrap/>
          </w:tcPr>
          <w:p w14:paraId="6D674342" w14:textId="77777777" w:rsidR="000A1B71" w:rsidRPr="004A2923" w:rsidRDefault="000A1B71" w:rsidP="000A1B71">
            <w:pPr>
              <w:jc w:val="right"/>
            </w:pPr>
            <w:r>
              <w:t>109.733.392,31</w:t>
            </w:r>
          </w:p>
        </w:tc>
        <w:tc>
          <w:tcPr>
            <w:tcW w:w="1418" w:type="dxa"/>
            <w:noWrap/>
          </w:tcPr>
          <w:p w14:paraId="2D8C2BD2" w14:textId="77777777" w:rsidR="000A1B71" w:rsidRPr="004A2923" w:rsidRDefault="000A1B71" w:rsidP="000A1B71">
            <w:pPr>
              <w:jc w:val="center"/>
            </w:pPr>
            <w:r>
              <w:t>116,50</w:t>
            </w:r>
          </w:p>
        </w:tc>
      </w:tr>
      <w:tr w:rsidR="000A1B71" w:rsidRPr="004A2923" w14:paraId="161EC3C6" w14:textId="77777777" w:rsidTr="00F5433C">
        <w:trPr>
          <w:trHeight w:val="352"/>
        </w:trPr>
        <w:tc>
          <w:tcPr>
            <w:tcW w:w="988" w:type="dxa"/>
          </w:tcPr>
          <w:p w14:paraId="5F94EE25" w14:textId="77777777" w:rsidR="000A1B71" w:rsidRPr="004A2923" w:rsidRDefault="000A1B71" w:rsidP="000A1B71">
            <w:r>
              <w:lastRenderedPageBreak/>
              <w:t>2</w:t>
            </w:r>
          </w:p>
        </w:tc>
        <w:tc>
          <w:tcPr>
            <w:tcW w:w="3118" w:type="dxa"/>
            <w:hideMark/>
          </w:tcPr>
          <w:p w14:paraId="6F80EDDC" w14:textId="77777777" w:rsidR="000A1B71" w:rsidRPr="004A2923" w:rsidRDefault="000A1B71" w:rsidP="000A1B71">
            <w:r w:rsidRPr="004A2923">
              <w:t xml:space="preserve">Obveze </w:t>
            </w:r>
          </w:p>
        </w:tc>
        <w:tc>
          <w:tcPr>
            <w:tcW w:w="1559" w:type="dxa"/>
            <w:noWrap/>
          </w:tcPr>
          <w:p w14:paraId="40320AC1" w14:textId="77777777" w:rsidR="000A1B71" w:rsidRPr="004A2923" w:rsidRDefault="000A1B71" w:rsidP="000A1B71">
            <w:pPr>
              <w:jc w:val="right"/>
            </w:pPr>
            <w:r>
              <w:t>7.399.202,00</w:t>
            </w:r>
          </w:p>
        </w:tc>
        <w:tc>
          <w:tcPr>
            <w:tcW w:w="1701" w:type="dxa"/>
            <w:noWrap/>
          </w:tcPr>
          <w:p w14:paraId="5AD37570" w14:textId="77777777" w:rsidR="000A1B71" w:rsidRPr="004A2923" w:rsidRDefault="000A1B71" w:rsidP="000A1B71">
            <w:pPr>
              <w:jc w:val="right"/>
            </w:pPr>
            <w:r>
              <w:t>13.406.402,71</w:t>
            </w:r>
          </w:p>
        </w:tc>
        <w:tc>
          <w:tcPr>
            <w:tcW w:w="1418" w:type="dxa"/>
            <w:noWrap/>
          </w:tcPr>
          <w:p w14:paraId="7D4D3608" w14:textId="77777777" w:rsidR="000A1B71" w:rsidRPr="004A2923" w:rsidRDefault="000A1B71" w:rsidP="000A1B71">
            <w:pPr>
              <w:jc w:val="center"/>
            </w:pPr>
            <w:r>
              <w:t>181,20</w:t>
            </w:r>
          </w:p>
        </w:tc>
      </w:tr>
      <w:tr w:rsidR="000A1B71" w:rsidRPr="004A2923" w14:paraId="0640DB66" w14:textId="77777777" w:rsidTr="000A1B71">
        <w:trPr>
          <w:trHeight w:val="315"/>
        </w:trPr>
        <w:tc>
          <w:tcPr>
            <w:tcW w:w="988" w:type="dxa"/>
          </w:tcPr>
          <w:p w14:paraId="354947F1" w14:textId="77777777" w:rsidR="000A1B71" w:rsidRPr="004A2923" w:rsidRDefault="000A1B71">
            <w:r>
              <w:t>91</w:t>
            </w:r>
          </w:p>
        </w:tc>
        <w:tc>
          <w:tcPr>
            <w:tcW w:w="3118" w:type="dxa"/>
            <w:hideMark/>
          </w:tcPr>
          <w:p w14:paraId="5759A731" w14:textId="77777777" w:rsidR="000A1B71" w:rsidRPr="004A2923" w:rsidRDefault="000A1B71">
            <w:r>
              <w:t>Vlastiti izvori</w:t>
            </w:r>
          </w:p>
        </w:tc>
        <w:tc>
          <w:tcPr>
            <w:tcW w:w="1559" w:type="dxa"/>
            <w:noWrap/>
          </w:tcPr>
          <w:p w14:paraId="256FD6F2" w14:textId="77777777" w:rsidR="000A1B71" w:rsidRPr="004A2923" w:rsidRDefault="000A1B71" w:rsidP="000A1B71">
            <w:pPr>
              <w:jc w:val="right"/>
            </w:pPr>
            <w:r>
              <w:t>74.295.022,00</w:t>
            </w:r>
          </w:p>
        </w:tc>
        <w:tc>
          <w:tcPr>
            <w:tcW w:w="1701" w:type="dxa"/>
            <w:noWrap/>
          </w:tcPr>
          <w:p w14:paraId="4E95DB14" w14:textId="77777777" w:rsidR="000A1B71" w:rsidRPr="004A2923" w:rsidRDefault="000A1B71" w:rsidP="000A1B71">
            <w:pPr>
              <w:jc w:val="right"/>
            </w:pPr>
            <w:r>
              <w:t>85.732.489,72</w:t>
            </w:r>
          </w:p>
        </w:tc>
        <w:tc>
          <w:tcPr>
            <w:tcW w:w="1418" w:type="dxa"/>
            <w:noWrap/>
          </w:tcPr>
          <w:p w14:paraId="66026DF2" w14:textId="77777777" w:rsidR="000A1B71" w:rsidRPr="004A2923" w:rsidRDefault="000A1B71" w:rsidP="000A1B71">
            <w:pPr>
              <w:jc w:val="center"/>
            </w:pPr>
            <w:r>
              <w:t>115,40</w:t>
            </w:r>
          </w:p>
        </w:tc>
      </w:tr>
      <w:tr w:rsidR="000A1B71" w:rsidRPr="004A2923" w14:paraId="1DA1E5C4" w14:textId="77777777" w:rsidTr="000A1B71">
        <w:trPr>
          <w:trHeight w:val="315"/>
        </w:trPr>
        <w:tc>
          <w:tcPr>
            <w:tcW w:w="988" w:type="dxa"/>
          </w:tcPr>
          <w:p w14:paraId="012D7C8D" w14:textId="77777777" w:rsidR="000A1B71" w:rsidRPr="004A2923" w:rsidRDefault="000A1B71">
            <w:r>
              <w:t>922</w:t>
            </w:r>
          </w:p>
        </w:tc>
        <w:tc>
          <w:tcPr>
            <w:tcW w:w="3118" w:type="dxa"/>
            <w:hideMark/>
          </w:tcPr>
          <w:p w14:paraId="490FCBF1" w14:textId="77777777" w:rsidR="000A1B71" w:rsidRPr="004A2923" w:rsidRDefault="000A1B71">
            <w:r>
              <w:t>Višak prihoda</w:t>
            </w:r>
            <w:r w:rsidRPr="004A2923">
              <w:t xml:space="preserve"> </w:t>
            </w:r>
          </w:p>
        </w:tc>
        <w:tc>
          <w:tcPr>
            <w:tcW w:w="1559" w:type="dxa"/>
            <w:noWrap/>
          </w:tcPr>
          <w:p w14:paraId="7E0FC885" w14:textId="77777777" w:rsidR="000A1B71" w:rsidRPr="004A2923" w:rsidRDefault="000A1B71" w:rsidP="000A1B71">
            <w:pPr>
              <w:jc w:val="right"/>
            </w:pPr>
            <w:r>
              <w:t>11.841.207,00</w:t>
            </w:r>
          </w:p>
        </w:tc>
        <w:tc>
          <w:tcPr>
            <w:tcW w:w="1701" w:type="dxa"/>
            <w:noWrap/>
          </w:tcPr>
          <w:p w14:paraId="3E8C982B" w14:textId="77777777" w:rsidR="000A1B71" w:rsidRPr="004A2923" w:rsidRDefault="000A1B71" w:rsidP="000A1B71">
            <w:pPr>
              <w:jc w:val="right"/>
            </w:pPr>
            <w:r>
              <w:t>9.374.466,33</w:t>
            </w:r>
          </w:p>
        </w:tc>
        <w:tc>
          <w:tcPr>
            <w:tcW w:w="1418" w:type="dxa"/>
            <w:noWrap/>
          </w:tcPr>
          <w:p w14:paraId="32B67B38" w14:textId="77777777" w:rsidR="000A1B71" w:rsidRPr="004A2923" w:rsidRDefault="000A1B71" w:rsidP="000A1B71">
            <w:pPr>
              <w:jc w:val="center"/>
            </w:pPr>
            <w:r>
              <w:t>79,20</w:t>
            </w:r>
          </w:p>
        </w:tc>
      </w:tr>
      <w:tr w:rsidR="000A1B71" w:rsidRPr="004A2923" w14:paraId="35BE128C" w14:textId="77777777" w:rsidTr="00F5433C">
        <w:trPr>
          <w:trHeight w:val="324"/>
        </w:trPr>
        <w:tc>
          <w:tcPr>
            <w:tcW w:w="988" w:type="dxa"/>
          </w:tcPr>
          <w:p w14:paraId="66F8628C" w14:textId="77777777" w:rsidR="000A1B71" w:rsidRPr="004A2923" w:rsidRDefault="000A1B71">
            <w:r>
              <w:t>96</w:t>
            </w:r>
          </w:p>
        </w:tc>
        <w:tc>
          <w:tcPr>
            <w:tcW w:w="3118" w:type="dxa"/>
            <w:hideMark/>
          </w:tcPr>
          <w:p w14:paraId="61E98699" w14:textId="77777777" w:rsidR="000A1B71" w:rsidRPr="004A2923" w:rsidRDefault="000A1B71">
            <w:r w:rsidRPr="004A2923">
              <w:t>Obračunati prihodi poslovanja</w:t>
            </w:r>
          </w:p>
        </w:tc>
        <w:tc>
          <w:tcPr>
            <w:tcW w:w="1559" w:type="dxa"/>
            <w:noWrap/>
          </w:tcPr>
          <w:p w14:paraId="56DD9171" w14:textId="77777777" w:rsidR="000A1B71" w:rsidRPr="004A2923" w:rsidRDefault="000A1B71" w:rsidP="000A1B71">
            <w:pPr>
              <w:jc w:val="right"/>
            </w:pPr>
            <w:r>
              <w:t>212.890,00</w:t>
            </w:r>
          </w:p>
        </w:tc>
        <w:tc>
          <w:tcPr>
            <w:tcW w:w="1701" w:type="dxa"/>
            <w:noWrap/>
          </w:tcPr>
          <w:p w14:paraId="0D21918B" w14:textId="77777777" w:rsidR="000A1B71" w:rsidRPr="004A2923" w:rsidRDefault="000A1B71" w:rsidP="000A1B71">
            <w:pPr>
              <w:jc w:val="right"/>
            </w:pPr>
            <w:r>
              <w:t>846.259,78</w:t>
            </w:r>
          </w:p>
        </w:tc>
        <w:tc>
          <w:tcPr>
            <w:tcW w:w="1418" w:type="dxa"/>
            <w:noWrap/>
          </w:tcPr>
          <w:p w14:paraId="5BD92DC7" w14:textId="77777777" w:rsidR="000A1B71" w:rsidRPr="004A2923" w:rsidRDefault="000A1B71" w:rsidP="000A1B71">
            <w:pPr>
              <w:jc w:val="center"/>
            </w:pPr>
            <w:r>
              <w:t>397,50</w:t>
            </w:r>
          </w:p>
        </w:tc>
      </w:tr>
      <w:tr w:rsidR="000A1B71" w:rsidRPr="004A2923" w14:paraId="1002CE0E" w14:textId="77777777" w:rsidTr="000A1B71">
        <w:trPr>
          <w:trHeight w:val="615"/>
        </w:trPr>
        <w:tc>
          <w:tcPr>
            <w:tcW w:w="988" w:type="dxa"/>
          </w:tcPr>
          <w:p w14:paraId="57DA43DF" w14:textId="77777777" w:rsidR="000A1B71" w:rsidRPr="004A2923" w:rsidRDefault="000A1B71">
            <w:r>
              <w:t>97</w:t>
            </w:r>
          </w:p>
        </w:tc>
        <w:tc>
          <w:tcPr>
            <w:tcW w:w="3118" w:type="dxa"/>
            <w:hideMark/>
          </w:tcPr>
          <w:p w14:paraId="6B6AB8FF" w14:textId="77777777" w:rsidR="000A1B71" w:rsidRPr="004A2923" w:rsidRDefault="000A1B71">
            <w:r w:rsidRPr="004A2923">
              <w:t xml:space="preserve">Obračunati prihodi od </w:t>
            </w:r>
            <w:r>
              <w:t xml:space="preserve">prodaje </w:t>
            </w:r>
            <w:r w:rsidRPr="004A2923">
              <w:t>nefinancijske imovine</w:t>
            </w:r>
          </w:p>
        </w:tc>
        <w:tc>
          <w:tcPr>
            <w:tcW w:w="1559" w:type="dxa"/>
            <w:noWrap/>
          </w:tcPr>
          <w:p w14:paraId="7847F98E" w14:textId="77777777" w:rsidR="000A1B71" w:rsidRPr="004A2923" w:rsidRDefault="000A1B71" w:rsidP="000A1B71">
            <w:pPr>
              <w:jc w:val="right"/>
            </w:pPr>
            <w:r>
              <w:t>421.296,00</w:t>
            </w:r>
          </w:p>
        </w:tc>
        <w:tc>
          <w:tcPr>
            <w:tcW w:w="1701" w:type="dxa"/>
            <w:noWrap/>
          </w:tcPr>
          <w:p w14:paraId="7C3DC494" w14:textId="77777777" w:rsidR="000A1B71" w:rsidRPr="004A2923" w:rsidRDefault="000A1B71" w:rsidP="000A1B71">
            <w:pPr>
              <w:jc w:val="right"/>
            </w:pPr>
            <w:r>
              <w:t>373.773,77</w:t>
            </w:r>
          </w:p>
        </w:tc>
        <w:tc>
          <w:tcPr>
            <w:tcW w:w="1418" w:type="dxa"/>
            <w:noWrap/>
          </w:tcPr>
          <w:p w14:paraId="68AB55AD" w14:textId="77777777" w:rsidR="000A1B71" w:rsidRPr="004A2923" w:rsidRDefault="000A1B71" w:rsidP="000A1B71">
            <w:pPr>
              <w:jc w:val="center"/>
            </w:pPr>
            <w:r>
              <w:t>88,70</w:t>
            </w:r>
          </w:p>
        </w:tc>
      </w:tr>
    </w:tbl>
    <w:p w14:paraId="56A79A65" w14:textId="77777777" w:rsidR="00481C53" w:rsidRPr="004A2923" w:rsidRDefault="00481C53" w:rsidP="00DB0776"/>
    <w:p w14:paraId="76DAEE14" w14:textId="77777777" w:rsidR="00A5302B" w:rsidRPr="004A2923" w:rsidRDefault="000A054C" w:rsidP="00F5433C">
      <w:pPr>
        <w:jc w:val="both"/>
      </w:pPr>
      <w:r w:rsidRPr="004A2923">
        <w:rPr>
          <w:b/>
          <w:bCs/>
        </w:rPr>
        <w:t>Bilješka 1</w:t>
      </w:r>
      <w:r w:rsidR="00CF12B0">
        <w:rPr>
          <w:b/>
          <w:bCs/>
        </w:rPr>
        <w:t>7</w:t>
      </w:r>
      <w:r w:rsidRPr="004A2923">
        <w:rPr>
          <w:b/>
          <w:bCs/>
        </w:rPr>
        <w:t xml:space="preserve">. </w:t>
      </w:r>
      <w:r w:rsidR="007C192A">
        <w:rPr>
          <w:b/>
          <w:bCs/>
        </w:rPr>
        <w:t>Izvan</w:t>
      </w:r>
      <w:r w:rsidR="00BB6982">
        <w:rPr>
          <w:b/>
          <w:bCs/>
        </w:rPr>
        <w:t>-</w:t>
      </w:r>
      <w:r w:rsidR="007C192A">
        <w:rPr>
          <w:b/>
          <w:bCs/>
        </w:rPr>
        <w:t>bilančni zapisi (u kn)</w:t>
      </w:r>
      <w:r w:rsidR="00A5302B" w:rsidRPr="004A2923">
        <w:rPr>
          <w:b/>
          <w:bCs/>
        </w:rPr>
        <w:t xml:space="preserve"> </w:t>
      </w:r>
      <w:r w:rsidR="00A5302B" w:rsidRPr="004A2923">
        <w:fldChar w:fldCharType="begin"/>
      </w:r>
      <w:r w:rsidR="00A5302B" w:rsidRPr="004A2923">
        <w:instrText xml:space="preserve"> LINK Excel.Sheet.12 "Book1" "Sheet1!R1C1:R3C5" \a \f 4 \h </w:instrText>
      </w:r>
      <w:r w:rsidR="000D474C" w:rsidRPr="004A2923">
        <w:instrText xml:space="preserve"> \* MERGEFORMAT </w:instrText>
      </w:r>
      <w:r w:rsidR="00A5302B" w:rsidRPr="004A2923">
        <w:fldChar w:fldCharType="separate"/>
      </w:r>
    </w:p>
    <w:tbl>
      <w:tblPr>
        <w:tblW w:w="6525" w:type="dxa"/>
        <w:tblInd w:w="988" w:type="dxa"/>
        <w:tblLook w:val="04A0" w:firstRow="1" w:lastRow="0" w:firstColumn="1" w:lastColumn="0" w:noHBand="0" w:noVBand="1"/>
      </w:tblPr>
      <w:tblGrid>
        <w:gridCol w:w="1989"/>
        <w:gridCol w:w="2121"/>
        <w:gridCol w:w="1276"/>
        <w:gridCol w:w="1139"/>
      </w:tblGrid>
      <w:tr w:rsidR="00A52A58" w:rsidRPr="004A2923" w14:paraId="23411779" w14:textId="77777777" w:rsidTr="00F5433C">
        <w:trPr>
          <w:trHeight w:val="315"/>
        </w:trPr>
        <w:tc>
          <w:tcPr>
            <w:tcW w:w="19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C69DB" w14:textId="77777777" w:rsidR="00A52A58" w:rsidRPr="004A2923" w:rsidRDefault="00A52A58" w:rsidP="007C19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A2923">
              <w:rPr>
                <w:rFonts w:ascii="Calibri" w:eastAsia="Times New Roman" w:hAnsi="Calibri" w:cs="Times New Roman"/>
                <w:color w:val="000000"/>
                <w:lang w:eastAsia="hr-HR"/>
              </w:rPr>
              <w:t>NAZIV</w:t>
            </w:r>
          </w:p>
        </w:tc>
        <w:tc>
          <w:tcPr>
            <w:tcW w:w="2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5C24F" w14:textId="77777777" w:rsidR="00A52A58" w:rsidRPr="004A2923" w:rsidRDefault="00A52A58" w:rsidP="007C19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A2923">
              <w:rPr>
                <w:rFonts w:ascii="Calibri" w:eastAsia="Times New Roman" w:hAnsi="Calibri" w:cs="Times New Roman"/>
                <w:color w:val="000000"/>
                <w:lang w:eastAsia="hr-HR"/>
              </w:rPr>
              <w:t>2021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C430B" w14:textId="77777777" w:rsidR="00A52A58" w:rsidRPr="004A2923" w:rsidRDefault="00A52A58" w:rsidP="007C19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A2923">
              <w:rPr>
                <w:rFonts w:ascii="Calibri" w:eastAsia="Times New Roman" w:hAnsi="Calibri" w:cs="Times New Roman"/>
                <w:color w:val="000000"/>
                <w:lang w:eastAsia="hr-HR"/>
              </w:rPr>
              <w:t>2022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4B783" w14:textId="77777777" w:rsidR="00A52A58" w:rsidRPr="004A2923" w:rsidRDefault="00A52A58" w:rsidP="007C19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A2923">
              <w:rPr>
                <w:rFonts w:ascii="Calibri" w:eastAsia="Times New Roman" w:hAnsi="Calibri" w:cs="Times New Roman"/>
                <w:color w:val="000000"/>
                <w:lang w:eastAsia="hr-HR"/>
              </w:rPr>
              <w:t>INDEKS</w:t>
            </w:r>
          </w:p>
        </w:tc>
      </w:tr>
      <w:tr w:rsidR="00A52A58" w:rsidRPr="004A2923" w14:paraId="5A690273" w14:textId="77777777" w:rsidTr="00F5433C">
        <w:trPr>
          <w:trHeight w:val="315"/>
        </w:trPr>
        <w:tc>
          <w:tcPr>
            <w:tcW w:w="19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E529A" w14:textId="77777777" w:rsidR="00A52A58" w:rsidRPr="004A2923" w:rsidRDefault="00A52A58" w:rsidP="00A53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A2923">
              <w:rPr>
                <w:rFonts w:ascii="Calibri" w:eastAsia="Times New Roman" w:hAnsi="Calibri" w:cs="Times New Roman"/>
                <w:color w:val="000000"/>
                <w:lang w:eastAsia="hr-HR"/>
              </w:rPr>
              <w:t>Izvan</w:t>
            </w:r>
            <w:r w:rsidR="00BB6982">
              <w:rPr>
                <w:rFonts w:ascii="Calibri" w:eastAsia="Times New Roman" w:hAnsi="Calibri" w:cs="Times New Roman"/>
                <w:color w:val="000000"/>
                <w:lang w:eastAsia="hr-HR"/>
              </w:rPr>
              <w:t>-</w:t>
            </w:r>
            <w:r w:rsidRPr="004A2923">
              <w:rPr>
                <w:rFonts w:ascii="Calibri" w:eastAsia="Times New Roman" w:hAnsi="Calibri" w:cs="Times New Roman"/>
                <w:color w:val="000000"/>
                <w:lang w:eastAsia="hr-HR"/>
              </w:rPr>
              <w:t>bilančni zapisi aktiva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3A905" w14:textId="77777777" w:rsidR="00A52A58" w:rsidRPr="004A2923" w:rsidRDefault="00A52A58" w:rsidP="00A530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A2923">
              <w:rPr>
                <w:rFonts w:ascii="Calibri" w:eastAsia="Times New Roman" w:hAnsi="Calibri" w:cs="Times New Roman"/>
                <w:color w:val="000000"/>
                <w:lang w:eastAsia="hr-HR"/>
              </w:rPr>
              <w:t>403.375</w:t>
            </w:r>
            <w:r w:rsidR="007C192A">
              <w:rPr>
                <w:rFonts w:ascii="Calibri" w:eastAsia="Times New Roman" w:hAnsi="Calibri" w:cs="Times New Roman"/>
                <w:color w:val="000000"/>
                <w:lang w:eastAsia="hr-HR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8252B" w14:textId="77777777" w:rsidR="00A52A58" w:rsidRPr="004A2923" w:rsidRDefault="00A52A58" w:rsidP="00A530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A2923">
              <w:rPr>
                <w:rFonts w:ascii="Calibri" w:eastAsia="Times New Roman" w:hAnsi="Calibri" w:cs="Times New Roman"/>
                <w:color w:val="000000"/>
                <w:lang w:eastAsia="hr-HR"/>
              </w:rPr>
              <w:t>520.278</w:t>
            </w:r>
            <w:r w:rsidR="007C192A">
              <w:rPr>
                <w:rFonts w:ascii="Calibri" w:eastAsia="Times New Roman" w:hAnsi="Calibri" w:cs="Times New Roman"/>
                <w:color w:val="000000"/>
                <w:lang w:eastAsia="hr-HR"/>
              </w:rPr>
              <w:t>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6C24E" w14:textId="77777777" w:rsidR="00A52A58" w:rsidRPr="004A2923" w:rsidRDefault="00A52A58" w:rsidP="007C19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A2923">
              <w:rPr>
                <w:rFonts w:ascii="Calibri" w:eastAsia="Times New Roman" w:hAnsi="Calibri" w:cs="Times New Roman"/>
                <w:color w:val="000000"/>
                <w:lang w:eastAsia="hr-HR"/>
              </w:rPr>
              <w:t>129</w:t>
            </w:r>
          </w:p>
        </w:tc>
      </w:tr>
      <w:tr w:rsidR="00A52A58" w:rsidRPr="004A2923" w14:paraId="720EBBAF" w14:textId="77777777" w:rsidTr="00F5433C">
        <w:trPr>
          <w:trHeight w:val="315"/>
        </w:trPr>
        <w:tc>
          <w:tcPr>
            <w:tcW w:w="19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FE6FF" w14:textId="77777777" w:rsidR="00A52A58" w:rsidRPr="004A2923" w:rsidRDefault="00A52A58" w:rsidP="00A530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A2923">
              <w:rPr>
                <w:rFonts w:ascii="Calibri" w:eastAsia="Times New Roman" w:hAnsi="Calibri" w:cs="Times New Roman"/>
                <w:color w:val="000000"/>
                <w:lang w:eastAsia="hr-HR"/>
              </w:rPr>
              <w:t>Izvan</w:t>
            </w:r>
            <w:r w:rsidR="00BB6982">
              <w:rPr>
                <w:rFonts w:ascii="Calibri" w:eastAsia="Times New Roman" w:hAnsi="Calibri" w:cs="Times New Roman"/>
                <w:color w:val="000000"/>
                <w:lang w:eastAsia="hr-HR"/>
              </w:rPr>
              <w:t>-</w:t>
            </w:r>
            <w:r w:rsidRPr="004A2923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bilančni zapisi pasiva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D89B8" w14:textId="77777777" w:rsidR="00A52A58" w:rsidRPr="004A2923" w:rsidRDefault="00A52A58" w:rsidP="00A530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A2923">
              <w:rPr>
                <w:rFonts w:ascii="Calibri" w:eastAsia="Times New Roman" w:hAnsi="Calibri" w:cs="Times New Roman"/>
                <w:color w:val="000000"/>
                <w:lang w:eastAsia="hr-HR"/>
              </w:rPr>
              <w:t>403.375</w:t>
            </w:r>
            <w:r w:rsidR="007C192A">
              <w:rPr>
                <w:rFonts w:ascii="Calibri" w:eastAsia="Times New Roman" w:hAnsi="Calibri" w:cs="Times New Roman"/>
                <w:color w:val="000000"/>
                <w:lang w:eastAsia="hr-HR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943D0" w14:textId="77777777" w:rsidR="00A52A58" w:rsidRPr="004A2923" w:rsidRDefault="00A52A58" w:rsidP="00A530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A2923">
              <w:rPr>
                <w:rFonts w:ascii="Calibri" w:eastAsia="Times New Roman" w:hAnsi="Calibri" w:cs="Times New Roman"/>
                <w:color w:val="000000"/>
                <w:lang w:eastAsia="hr-HR"/>
              </w:rPr>
              <w:t>520.278</w:t>
            </w:r>
            <w:r w:rsidR="007C192A">
              <w:rPr>
                <w:rFonts w:ascii="Calibri" w:eastAsia="Times New Roman" w:hAnsi="Calibri" w:cs="Times New Roman"/>
                <w:color w:val="000000"/>
                <w:lang w:eastAsia="hr-HR"/>
              </w:rPr>
              <w:t>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B7906" w14:textId="77777777" w:rsidR="00A52A58" w:rsidRPr="004A2923" w:rsidRDefault="00A52A58" w:rsidP="007C19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A2923">
              <w:rPr>
                <w:rFonts w:ascii="Calibri" w:eastAsia="Times New Roman" w:hAnsi="Calibri" w:cs="Times New Roman"/>
                <w:color w:val="000000"/>
                <w:lang w:eastAsia="hr-HR"/>
              </w:rPr>
              <w:t>129</w:t>
            </w:r>
          </w:p>
        </w:tc>
      </w:tr>
    </w:tbl>
    <w:p w14:paraId="3A4326FB" w14:textId="77777777" w:rsidR="00A5302B" w:rsidRPr="004A2923" w:rsidRDefault="00A5302B" w:rsidP="00DB0776">
      <w:r w:rsidRPr="004A2923">
        <w:fldChar w:fldCharType="end"/>
      </w:r>
    </w:p>
    <w:p w14:paraId="3D3B2F25" w14:textId="77777777" w:rsidR="00FD0A23" w:rsidRPr="004A2923" w:rsidRDefault="00A5302B" w:rsidP="007C192A">
      <w:pPr>
        <w:jc w:val="both"/>
      </w:pPr>
      <w:r w:rsidRPr="004A2923">
        <w:t>U i</w:t>
      </w:r>
      <w:r w:rsidR="000D0278" w:rsidRPr="004A2923">
        <w:t>zvan</w:t>
      </w:r>
      <w:r w:rsidR="000A1B71">
        <w:t>-</w:t>
      </w:r>
      <w:r w:rsidR="000D0278" w:rsidRPr="004A2923">
        <w:t xml:space="preserve">bilančnim </w:t>
      </w:r>
      <w:r w:rsidRPr="004A2923">
        <w:t xml:space="preserve"> zapisima evidentiran</w:t>
      </w:r>
      <w:r w:rsidR="00F5433C">
        <w:t xml:space="preserve">e su očekivane obveze započetih </w:t>
      </w:r>
      <w:r w:rsidRPr="004A2923">
        <w:t xml:space="preserve">sudskih sporova u iznosu od </w:t>
      </w:r>
      <w:r w:rsidR="00F5433C">
        <w:t>1</w:t>
      </w:r>
      <w:r w:rsidR="00592474" w:rsidRPr="004A2923">
        <w:t>36.278,00</w:t>
      </w:r>
      <w:r w:rsidR="00F5433C">
        <w:t xml:space="preserve"> kn</w:t>
      </w:r>
      <w:r w:rsidR="0085080E" w:rsidRPr="004A2923">
        <w:t xml:space="preserve"> </w:t>
      </w:r>
      <w:r w:rsidR="00592474" w:rsidRPr="004A2923">
        <w:t>i tuđ</w:t>
      </w:r>
      <w:r w:rsidR="00F5433C">
        <w:t>a</w:t>
      </w:r>
      <w:r w:rsidR="00592474" w:rsidRPr="004A2923">
        <w:t xml:space="preserve"> imovinu u iznosu 384.000,00</w:t>
      </w:r>
      <w:r w:rsidR="007C192A">
        <w:t xml:space="preserve"> kn (ista se odnosi na osobna vozila marke Škoda i Golf, </w:t>
      </w:r>
      <w:proofErr w:type="spellStart"/>
      <w:r w:rsidR="007C192A">
        <w:t>caffe</w:t>
      </w:r>
      <w:proofErr w:type="spellEnd"/>
      <w:r w:rsidR="007C192A">
        <w:t xml:space="preserve"> aparati i kopirni uređaji</w:t>
      </w:r>
      <w:r w:rsidR="00F5433C">
        <w:t>, sve u najmu</w:t>
      </w:r>
      <w:r w:rsidR="007C192A">
        <w:t>). Na povećanje vrijednosti izvan</w:t>
      </w:r>
      <w:r w:rsidR="000A1B71">
        <w:t>-</w:t>
      </w:r>
      <w:r w:rsidR="007C192A">
        <w:t>bilančnih zapisa utjecala je vrijednost osobnih vozila u najmu.</w:t>
      </w:r>
    </w:p>
    <w:p w14:paraId="228C6E9E" w14:textId="77777777" w:rsidR="00A5302B" w:rsidRDefault="0085080E" w:rsidP="007C192A">
      <w:pPr>
        <w:jc w:val="both"/>
      </w:pPr>
      <w:r w:rsidRPr="00A10DDB">
        <w:t>(Prilog tablica sudskih sporova)</w:t>
      </w:r>
      <w:r w:rsidRPr="004A2923"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32"/>
        <w:gridCol w:w="3199"/>
        <w:gridCol w:w="4531"/>
      </w:tblGrid>
      <w:tr w:rsidR="006E1AF0" w:rsidRPr="006C26DE" w14:paraId="10DC44F2" w14:textId="77777777" w:rsidTr="00DD3E5D">
        <w:trPr>
          <w:trHeight w:val="599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6484" w14:textId="77777777" w:rsidR="006E1AF0" w:rsidRPr="006C26DE" w:rsidRDefault="006E1AF0" w:rsidP="00A10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Red. br.</w:t>
            </w:r>
          </w:p>
        </w:tc>
        <w:tc>
          <w:tcPr>
            <w:tcW w:w="1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8C983" w14:textId="77777777" w:rsidR="006E1AF0" w:rsidRPr="006C26DE" w:rsidRDefault="006E1AF0" w:rsidP="006C2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C26DE">
              <w:rPr>
                <w:rFonts w:ascii="Calibri" w:eastAsia="Times New Roman" w:hAnsi="Calibri" w:cs="Times New Roman"/>
                <w:color w:val="000000"/>
                <w:lang w:eastAsia="hr-HR"/>
              </w:rPr>
              <w:t>Oznaka predmeta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76ADA" w14:textId="77777777" w:rsidR="006E1AF0" w:rsidRPr="006C26DE" w:rsidRDefault="006E1AF0" w:rsidP="006C26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C26DE">
              <w:rPr>
                <w:rFonts w:ascii="Calibri" w:eastAsia="Times New Roman" w:hAnsi="Calibri" w:cs="Times New Roman"/>
                <w:color w:val="000000"/>
                <w:lang w:eastAsia="hr-HR"/>
              </w:rPr>
              <w:t>Očekivani iznos troškova u 2023.</w:t>
            </w:r>
          </w:p>
        </w:tc>
      </w:tr>
      <w:tr w:rsidR="006E1AF0" w:rsidRPr="006C26DE" w14:paraId="798278B9" w14:textId="77777777" w:rsidTr="00DD3E5D">
        <w:trPr>
          <w:trHeight w:val="30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BCC5" w14:textId="77777777" w:rsidR="006E1AF0" w:rsidRPr="006C26DE" w:rsidRDefault="006E1AF0" w:rsidP="006C2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C26DE">
              <w:rPr>
                <w:rFonts w:ascii="Calibri" w:eastAsia="Times New Roman" w:hAnsi="Calibri" w:cs="Times New Roman"/>
                <w:color w:val="000000"/>
                <w:lang w:eastAsia="hr-HR"/>
              </w:rPr>
              <w:t>1.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CEFF" w14:textId="77777777" w:rsidR="006E1AF0" w:rsidRPr="006C26DE" w:rsidRDefault="006E1AF0" w:rsidP="006C26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6C26DE">
              <w:rPr>
                <w:rFonts w:ascii="Calibri" w:eastAsia="Times New Roman" w:hAnsi="Calibri" w:cs="Times New Roman"/>
                <w:color w:val="000000"/>
                <w:lang w:eastAsia="hr-HR"/>
              </w:rPr>
              <w:t>Povrv</w:t>
            </w:r>
            <w:proofErr w:type="spellEnd"/>
            <w:r w:rsidRPr="006C26DE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779/2021.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E92C" w14:textId="77777777" w:rsidR="006E1AF0" w:rsidRPr="006C26DE" w:rsidRDefault="006E1AF0" w:rsidP="006C26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C26DE">
              <w:rPr>
                <w:rFonts w:ascii="Calibri" w:eastAsia="Times New Roman" w:hAnsi="Calibri" w:cs="Times New Roman"/>
                <w:color w:val="000000"/>
                <w:lang w:eastAsia="hr-HR"/>
              </w:rPr>
              <w:t>18.128,00 kn</w:t>
            </w:r>
          </w:p>
        </w:tc>
      </w:tr>
      <w:tr w:rsidR="006E1AF0" w:rsidRPr="006C26DE" w14:paraId="6C6B0CA5" w14:textId="77777777" w:rsidTr="00DD3E5D">
        <w:trPr>
          <w:trHeight w:val="30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5349" w14:textId="77777777" w:rsidR="006E1AF0" w:rsidRPr="006C26DE" w:rsidRDefault="006E1AF0" w:rsidP="00B92E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C26DE">
              <w:rPr>
                <w:rFonts w:ascii="Calibri" w:eastAsia="Times New Roman" w:hAnsi="Calibri" w:cs="Times New Roman"/>
                <w:color w:val="000000"/>
                <w:lang w:eastAsia="hr-HR"/>
              </w:rPr>
              <w:t>2.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D795" w14:textId="77777777" w:rsidR="006E1AF0" w:rsidRPr="006C26DE" w:rsidRDefault="006E1AF0" w:rsidP="00B92E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C26DE">
              <w:rPr>
                <w:rFonts w:ascii="Calibri" w:eastAsia="Times New Roman" w:hAnsi="Calibri" w:cs="Times New Roman"/>
                <w:color w:val="000000"/>
                <w:lang w:eastAsia="hr-HR"/>
              </w:rPr>
              <w:t>Pr-2936/2019.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5496" w14:textId="77777777" w:rsidR="006E1AF0" w:rsidRPr="006C26DE" w:rsidRDefault="006E1AF0" w:rsidP="00B92E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C26DE">
              <w:rPr>
                <w:rFonts w:ascii="Calibri" w:eastAsia="Times New Roman" w:hAnsi="Calibri" w:cs="Times New Roman"/>
                <w:color w:val="000000"/>
                <w:lang w:eastAsia="hr-HR"/>
              </w:rPr>
              <w:t>2.500,00 kn</w:t>
            </w:r>
          </w:p>
        </w:tc>
      </w:tr>
      <w:tr w:rsidR="006E1AF0" w:rsidRPr="006C26DE" w14:paraId="7888B508" w14:textId="77777777" w:rsidTr="00DD3E5D">
        <w:trPr>
          <w:trHeight w:val="60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F7DF" w14:textId="77777777" w:rsidR="006E1AF0" w:rsidRPr="006C26DE" w:rsidRDefault="006E1AF0" w:rsidP="00B92E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C26DE">
              <w:rPr>
                <w:rFonts w:ascii="Calibri" w:eastAsia="Times New Roman" w:hAnsi="Calibri" w:cs="Times New Roman"/>
                <w:color w:val="000000"/>
                <w:lang w:eastAsia="hr-HR"/>
              </w:rPr>
              <w:t>3.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0F70" w14:textId="77777777" w:rsidR="006E1AF0" w:rsidRPr="006C26DE" w:rsidRDefault="006E1AF0" w:rsidP="00B92E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C26DE">
              <w:rPr>
                <w:rFonts w:ascii="Calibri" w:eastAsia="Times New Roman" w:hAnsi="Calibri" w:cs="Times New Roman"/>
                <w:color w:val="000000"/>
                <w:lang w:eastAsia="hr-HR"/>
              </w:rPr>
              <w:t>P-2234/2017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04F8" w14:textId="77777777" w:rsidR="006E1AF0" w:rsidRPr="006C26DE" w:rsidRDefault="006E1AF0" w:rsidP="00B92E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C26DE">
              <w:rPr>
                <w:rFonts w:ascii="Calibri" w:eastAsia="Times New Roman" w:hAnsi="Calibri" w:cs="Times New Roman"/>
                <w:color w:val="000000"/>
                <w:lang w:eastAsia="hr-HR"/>
              </w:rPr>
              <w:t>15.650,00 kn</w:t>
            </w:r>
          </w:p>
        </w:tc>
      </w:tr>
      <w:tr w:rsidR="006E1AF0" w:rsidRPr="006C26DE" w14:paraId="677DA2C0" w14:textId="77777777" w:rsidTr="00DD3E5D">
        <w:trPr>
          <w:trHeight w:val="30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E26D" w14:textId="77777777" w:rsidR="006E1AF0" w:rsidRPr="006C26DE" w:rsidRDefault="006E1AF0" w:rsidP="00B92E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C26DE">
              <w:rPr>
                <w:rFonts w:ascii="Calibri" w:eastAsia="Times New Roman" w:hAnsi="Calibri" w:cs="Times New Roman"/>
                <w:color w:val="000000"/>
                <w:lang w:eastAsia="hr-HR"/>
              </w:rPr>
              <w:t>4.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4671" w14:textId="77777777" w:rsidR="006E1AF0" w:rsidRPr="006C26DE" w:rsidRDefault="006E1AF0" w:rsidP="00B92E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C26DE">
              <w:rPr>
                <w:rFonts w:ascii="Calibri" w:eastAsia="Times New Roman" w:hAnsi="Calibri" w:cs="Times New Roman"/>
                <w:color w:val="000000"/>
                <w:lang w:eastAsia="hr-HR"/>
              </w:rPr>
              <w:t>Pn-88/2017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2488" w14:textId="77777777" w:rsidR="006E1AF0" w:rsidRPr="006C26DE" w:rsidRDefault="006E1AF0" w:rsidP="00B92E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C26DE">
              <w:rPr>
                <w:rFonts w:ascii="Calibri" w:eastAsia="Times New Roman" w:hAnsi="Calibri" w:cs="Times New Roman"/>
                <w:color w:val="000000"/>
                <w:lang w:eastAsia="hr-HR"/>
              </w:rPr>
              <w:t>100.000,00 kn</w:t>
            </w:r>
          </w:p>
        </w:tc>
      </w:tr>
      <w:tr w:rsidR="006E1AF0" w:rsidRPr="006C26DE" w14:paraId="139DCEDC" w14:textId="77777777" w:rsidTr="00DD3E5D">
        <w:trPr>
          <w:trHeight w:val="30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8C3F" w14:textId="77777777" w:rsidR="006E1AF0" w:rsidRPr="006C26DE" w:rsidRDefault="006E1AF0" w:rsidP="00B92E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C26DE">
              <w:rPr>
                <w:rFonts w:ascii="Calibri" w:eastAsia="Times New Roman" w:hAnsi="Calibri" w:cs="Times New Roman"/>
                <w:color w:val="000000"/>
                <w:lang w:eastAsia="hr-HR"/>
              </w:rPr>
              <w:t>5.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2754" w14:textId="77777777" w:rsidR="006E1AF0" w:rsidRPr="006C26DE" w:rsidRDefault="006E1AF0" w:rsidP="00B92E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C26DE">
              <w:rPr>
                <w:rFonts w:ascii="Calibri" w:eastAsia="Times New Roman" w:hAnsi="Calibri" w:cs="Times New Roman"/>
                <w:color w:val="000000"/>
                <w:lang w:eastAsia="hr-HR"/>
              </w:rPr>
              <w:t>Z-59889/2022.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7E35" w14:textId="77777777" w:rsidR="006E1AF0" w:rsidRPr="006C26DE" w:rsidRDefault="006E1AF0" w:rsidP="00B92E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C26DE">
              <w:rPr>
                <w:rFonts w:ascii="Calibri" w:eastAsia="Times New Roman" w:hAnsi="Calibri" w:cs="Times New Roman"/>
                <w:color w:val="000000"/>
                <w:lang w:eastAsia="hr-HR"/>
              </w:rPr>
              <w:t>--</w:t>
            </w:r>
          </w:p>
        </w:tc>
      </w:tr>
      <w:tr w:rsidR="006E1AF0" w:rsidRPr="006C26DE" w14:paraId="18073DC9" w14:textId="77777777" w:rsidTr="00DD3E5D">
        <w:trPr>
          <w:trHeight w:val="30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7D81" w14:textId="77777777" w:rsidR="006E1AF0" w:rsidRPr="006C26DE" w:rsidRDefault="006E1AF0" w:rsidP="00B92E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C26DE">
              <w:rPr>
                <w:rFonts w:ascii="Calibri" w:eastAsia="Times New Roman" w:hAnsi="Calibri" w:cs="Times New Roman"/>
                <w:color w:val="000000"/>
                <w:lang w:eastAsia="hr-HR"/>
              </w:rPr>
              <w:t>6.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7E73" w14:textId="77777777" w:rsidR="006E1AF0" w:rsidRPr="006C26DE" w:rsidRDefault="006E1AF0" w:rsidP="00B92E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C26DE">
              <w:rPr>
                <w:rFonts w:ascii="Calibri" w:eastAsia="Times New Roman" w:hAnsi="Calibri" w:cs="Times New Roman"/>
                <w:color w:val="000000"/>
                <w:lang w:eastAsia="hr-HR"/>
              </w:rPr>
              <w:t>Z-47118/2022.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F1A5" w14:textId="77777777" w:rsidR="006E1AF0" w:rsidRPr="006C26DE" w:rsidRDefault="006E1AF0" w:rsidP="00B92E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C26DE">
              <w:rPr>
                <w:rFonts w:ascii="Calibri" w:eastAsia="Times New Roman" w:hAnsi="Calibri" w:cs="Times New Roman"/>
                <w:color w:val="000000"/>
                <w:lang w:eastAsia="hr-HR"/>
              </w:rPr>
              <w:t>--</w:t>
            </w:r>
          </w:p>
        </w:tc>
      </w:tr>
      <w:tr w:rsidR="006E1AF0" w:rsidRPr="006C26DE" w14:paraId="0EAF8AC3" w14:textId="77777777" w:rsidTr="00DD3E5D">
        <w:trPr>
          <w:trHeight w:val="30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114C" w14:textId="77777777" w:rsidR="006E1AF0" w:rsidRPr="006C26DE" w:rsidRDefault="006E1AF0" w:rsidP="00B92E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C26DE">
              <w:rPr>
                <w:rFonts w:ascii="Calibri" w:eastAsia="Times New Roman" w:hAnsi="Calibri" w:cs="Times New Roman"/>
                <w:color w:val="000000"/>
                <w:lang w:eastAsia="hr-HR"/>
              </w:rPr>
              <w:t>7.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832E" w14:textId="77777777" w:rsidR="006E1AF0" w:rsidRPr="006C26DE" w:rsidRDefault="006E1AF0" w:rsidP="00B92E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C26DE">
              <w:rPr>
                <w:rFonts w:ascii="Calibri" w:eastAsia="Times New Roman" w:hAnsi="Calibri" w:cs="Times New Roman"/>
                <w:color w:val="000000"/>
                <w:lang w:eastAsia="hr-HR"/>
              </w:rPr>
              <w:t>Pp-118774/2021.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24C6" w14:textId="77777777" w:rsidR="006E1AF0" w:rsidRPr="006C26DE" w:rsidRDefault="006E1AF0" w:rsidP="00B92E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C26DE">
              <w:rPr>
                <w:rFonts w:ascii="Calibri" w:eastAsia="Times New Roman" w:hAnsi="Calibri" w:cs="Times New Roman"/>
                <w:color w:val="000000"/>
                <w:lang w:eastAsia="hr-HR"/>
              </w:rPr>
              <w:t>--</w:t>
            </w:r>
          </w:p>
        </w:tc>
      </w:tr>
    </w:tbl>
    <w:p w14:paraId="7F6B1B59" w14:textId="77777777" w:rsidR="006C26DE" w:rsidRPr="004A2923" w:rsidRDefault="006C26DE" w:rsidP="007C192A">
      <w:pPr>
        <w:jc w:val="both"/>
      </w:pPr>
    </w:p>
    <w:p w14:paraId="4B053498" w14:textId="77777777" w:rsidR="009B683B" w:rsidRDefault="009B683B" w:rsidP="007C192A">
      <w:pPr>
        <w:jc w:val="both"/>
      </w:pPr>
    </w:p>
    <w:p w14:paraId="21BF9073" w14:textId="77777777" w:rsidR="00A5302B" w:rsidRPr="004A2923" w:rsidRDefault="007C192A" w:rsidP="007C192A">
      <w:pPr>
        <w:jc w:val="both"/>
      </w:pPr>
      <w:r>
        <w:t xml:space="preserve">Hrvatsko narodno kazalište na dan 31.12.2022. godine nema </w:t>
      </w:r>
      <w:r w:rsidR="00A5302B" w:rsidRPr="004A2923">
        <w:t>ugovornih odnosa koji mogu postati obveza ili imovina (dana kreditna pisma, hipoteke i slično)</w:t>
      </w:r>
      <w:r w:rsidR="00E06609" w:rsidRPr="004A2923">
        <w:t>.</w:t>
      </w:r>
    </w:p>
    <w:p w14:paraId="4D154E77" w14:textId="77777777" w:rsidR="00586C82" w:rsidRPr="004A2923" w:rsidRDefault="00586C82" w:rsidP="00DB0776"/>
    <w:p w14:paraId="456FF808" w14:textId="77777777" w:rsidR="00586C82" w:rsidRPr="004A2923" w:rsidRDefault="00586C82" w:rsidP="00DB0776">
      <w:r w:rsidRPr="004A2923">
        <w:t>Zagreb</w:t>
      </w:r>
      <w:r w:rsidR="007C192A">
        <w:t>,</w:t>
      </w:r>
      <w:r w:rsidRPr="004A2923">
        <w:t xml:space="preserve"> </w:t>
      </w:r>
      <w:r w:rsidR="000D5D73" w:rsidRPr="004A2923">
        <w:t>30.01.2023</w:t>
      </w:r>
      <w:r w:rsidRPr="004A2923">
        <w:t xml:space="preserve">.                                                         </w:t>
      </w:r>
      <w:r w:rsidR="007C192A">
        <w:t xml:space="preserve">            </w:t>
      </w:r>
      <w:r w:rsidRPr="004A2923">
        <w:t xml:space="preserve">        Intendantica: </w:t>
      </w:r>
    </w:p>
    <w:p w14:paraId="738B2BB6" w14:textId="77777777" w:rsidR="00A52A58" w:rsidRDefault="00A52A58" w:rsidP="00DB0776">
      <w:r w:rsidRPr="004A2923">
        <w:tab/>
      </w:r>
      <w:r w:rsidRPr="004A2923">
        <w:tab/>
      </w:r>
      <w:r w:rsidRPr="004A2923">
        <w:tab/>
      </w:r>
      <w:r w:rsidRPr="004A2923">
        <w:tab/>
      </w:r>
      <w:r w:rsidRPr="004A2923">
        <w:tab/>
      </w:r>
      <w:r w:rsidRPr="004A2923">
        <w:tab/>
      </w:r>
      <w:r w:rsidRPr="004A2923">
        <w:tab/>
      </w:r>
      <w:r w:rsidRPr="004A2923">
        <w:tab/>
      </w:r>
      <w:proofErr w:type="spellStart"/>
      <w:r w:rsidRPr="004A2923">
        <w:t>Dr.sc.Iva</w:t>
      </w:r>
      <w:proofErr w:type="spellEnd"/>
      <w:r w:rsidRPr="004A2923">
        <w:t xml:space="preserve"> Hraste Sočo</w:t>
      </w:r>
    </w:p>
    <w:sectPr w:rsidR="00A52A5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3553D" w14:textId="77777777" w:rsidR="009B5DB2" w:rsidRDefault="009B5DB2" w:rsidP="00CF12B0">
      <w:pPr>
        <w:spacing w:after="0" w:line="240" w:lineRule="auto"/>
      </w:pPr>
      <w:r>
        <w:separator/>
      </w:r>
    </w:p>
  </w:endnote>
  <w:endnote w:type="continuationSeparator" w:id="0">
    <w:p w14:paraId="6678A738" w14:textId="77777777" w:rsidR="009B5DB2" w:rsidRDefault="009B5DB2" w:rsidP="00CF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3FAC6" w14:textId="77777777" w:rsidR="00B540DC" w:rsidRDefault="00B540D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37CCBAC" wp14:editId="359E3524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696DA3" w14:textId="77777777" w:rsidR="00B540DC" w:rsidRDefault="00000000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472C4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B540DC"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>hRVATSKO NARODNO KAZALIŠTE</w:t>
                                </w:r>
                              </w:sdtContent>
                            </w:sdt>
                            <w:r w:rsidR="00B540DC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B540DC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Bilješke uz financijske izvještaje 2022. godina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37CCBAC" id="Group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11696DA3" w14:textId="77777777" w:rsidR="00B540DC" w:rsidRDefault="00000000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4472C4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B540DC"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>hRVATSKO NARODNO KAZALIŠTE</w:t>
                          </w:r>
                        </w:sdtContent>
                      </w:sdt>
                      <w:r w:rsidR="00B540DC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B540DC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Bilješke uz financijske izvještaje 2022. godina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57A34" w14:textId="77777777" w:rsidR="009B5DB2" w:rsidRDefault="009B5DB2" w:rsidP="00CF12B0">
      <w:pPr>
        <w:spacing w:after="0" w:line="240" w:lineRule="auto"/>
      </w:pPr>
      <w:r>
        <w:separator/>
      </w:r>
    </w:p>
  </w:footnote>
  <w:footnote w:type="continuationSeparator" w:id="0">
    <w:p w14:paraId="6C22814D" w14:textId="77777777" w:rsidR="009B5DB2" w:rsidRDefault="009B5DB2" w:rsidP="00CF1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5109218"/>
      <w:docPartObj>
        <w:docPartGallery w:val="Page Numbers (Top of Page)"/>
        <w:docPartUnique/>
      </w:docPartObj>
    </w:sdtPr>
    <w:sdtContent>
      <w:p w14:paraId="440B28E3" w14:textId="77777777" w:rsidR="00B540DC" w:rsidRDefault="00B540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2C65DA" w14:textId="77777777" w:rsidR="00B540DC" w:rsidRDefault="00B540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346EB"/>
    <w:multiLevelType w:val="hybridMultilevel"/>
    <w:tmpl w:val="C02AAB42"/>
    <w:lvl w:ilvl="0" w:tplc="926261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7DA6748"/>
    <w:multiLevelType w:val="hybridMultilevel"/>
    <w:tmpl w:val="ED6E2CFE"/>
    <w:lvl w:ilvl="0" w:tplc="FBAA637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A1785"/>
    <w:multiLevelType w:val="hybridMultilevel"/>
    <w:tmpl w:val="F29A984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B70DC"/>
    <w:multiLevelType w:val="hybridMultilevel"/>
    <w:tmpl w:val="33722062"/>
    <w:lvl w:ilvl="0" w:tplc="4E9ABEF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92215">
    <w:abstractNumId w:val="3"/>
  </w:num>
  <w:num w:numId="2" w16cid:durableId="1138692306">
    <w:abstractNumId w:val="1"/>
  </w:num>
  <w:num w:numId="3" w16cid:durableId="2109425614">
    <w:abstractNumId w:val="0"/>
  </w:num>
  <w:num w:numId="4" w16cid:durableId="1718243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A99"/>
    <w:rsid w:val="00012F4D"/>
    <w:rsid w:val="00027431"/>
    <w:rsid w:val="00044694"/>
    <w:rsid w:val="0004482D"/>
    <w:rsid w:val="00050177"/>
    <w:rsid w:val="000602BF"/>
    <w:rsid w:val="00065116"/>
    <w:rsid w:val="0008090F"/>
    <w:rsid w:val="000827B4"/>
    <w:rsid w:val="00090B97"/>
    <w:rsid w:val="000A054C"/>
    <w:rsid w:val="000A1B71"/>
    <w:rsid w:val="000A7485"/>
    <w:rsid w:val="000B37E0"/>
    <w:rsid w:val="000D0278"/>
    <w:rsid w:val="000D1DD6"/>
    <w:rsid w:val="000D24CD"/>
    <w:rsid w:val="000D474C"/>
    <w:rsid w:val="000D5D73"/>
    <w:rsid w:val="000E034C"/>
    <w:rsid w:val="000E2AF0"/>
    <w:rsid w:val="000E4961"/>
    <w:rsid w:val="000E6D05"/>
    <w:rsid w:val="000E7A76"/>
    <w:rsid w:val="000F4072"/>
    <w:rsid w:val="000F5B37"/>
    <w:rsid w:val="00106869"/>
    <w:rsid w:val="0011052E"/>
    <w:rsid w:val="00110659"/>
    <w:rsid w:val="00113742"/>
    <w:rsid w:val="00113C1F"/>
    <w:rsid w:val="00113E06"/>
    <w:rsid w:val="00116A53"/>
    <w:rsid w:val="00117D80"/>
    <w:rsid w:val="00132702"/>
    <w:rsid w:val="001373EF"/>
    <w:rsid w:val="001474E1"/>
    <w:rsid w:val="00153145"/>
    <w:rsid w:val="00153D95"/>
    <w:rsid w:val="0015437A"/>
    <w:rsid w:val="001601DF"/>
    <w:rsid w:val="00162EE3"/>
    <w:rsid w:val="00184BCD"/>
    <w:rsid w:val="00191017"/>
    <w:rsid w:val="00192F9A"/>
    <w:rsid w:val="001A472D"/>
    <w:rsid w:val="001B37F6"/>
    <w:rsid w:val="001C4C38"/>
    <w:rsid w:val="001E086C"/>
    <w:rsid w:val="001F4B34"/>
    <w:rsid w:val="001F4B47"/>
    <w:rsid w:val="001F71EF"/>
    <w:rsid w:val="001F7CF7"/>
    <w:rsid w:val="00202D81"/>
    <w:rsid w:val="0020601A"/>
    <w:rsid w:val="00211EB6"/>
    <w:rsid w:val="00212209"/>
    <w:rsid w:val="00213F35"/>
    <w:rsid w:val="0022543A"/>
    <w:rsid w:val="0025185E"/>
    <w:rsid w:val="00252223"/>
    <w:rsid w:val="00252590"/>
    <w:rsid w:val="00267859"/>
    <w:rsid w:val="00270252"/>
    <w:rsid w:val="002762B6"/>
    <w:rsid w:val="0028386F"/>
    <w:rsid w:val="00286416"/>
    <w:rsid w:val="0029103B"/>
    <w:rsid w:val="002B4B4B"/>
    <w:rsid w:val="002B5050"/>
    <w:rsid w:val="002B5348"/>
    <w:rsid w:val="002B76FF"/>
    <w:rsid w:val="002D3F3A"/>
    <w:rsid w:val="002D708D"/>
    <w:rsid w:val="002E42C3"/>
    <w:rsid w:val="0030162E"/>
    <w:rsid w:val="00302B85"/>
    <w:rsid w:val="00302C84"/>
    <w:rsid w:val="003067B8"/>
    <w:rsid w:val="003155BD"/>
    <w:rsid w:val="00333CF1"/>
    <w:rsid w:val="00340D5F"/>
    <w:rsid w:val="00342A3B"/>
    <w:rsid w:val="0034335D"/>
    <w:rsid w:val="003502EF"/>
    <w:rsid w:val="00352A08"/>
    <w:rsid w:val="00353BEA"/>
    <w:rsid w:val="00372CD0"/>
    <w:rsid w:val="00374479"/>
    <w:rsid w:val="003750B0"/>
    <w:rsid w:val="00386E0C"/>
    <w:rsid w:val="003A2F2E"/>
    <w:rsid w:val="003E1C06"/>
    <w:rsid w:val="003E335E"/>
    <w:rsid w:val="003E5A65"/>
    <w:rsid w:val="003E5D84"/>
    <w:rsid w:val="003F4FE0"/>
    <w:rsid w:val="003F6631"/>
    <w:rsid w:val="003F6FD9"/>
    <w:rsid w:val="00406F98"/>
    <w:rsid w:val="004100E0"/>
    <w:rsid w:val="00417034"/>
    <w:rsid w:val="004223E7"/>
    <w:rsid w:val="00426355"/>
    <w:rsid w:val="00430172"/>
    <w:rsid w:val="004318A3"/>
    <w:rsid w:val="00433A19"/>
    <w:rsid w:val="00436956"/>
    <w:rsid w:val="0044123F"/>
    <w:rsid w:val="00446AD2"/>
    <w:rsid w:val="00462D28"/>
    <w:rsid w:val="00472697"/>
    <w:rsid w:val="00481C53"/>
    <w:rsid w:val="00483BCC"/>
    <w:rsid w:val="00491764"/>
    <w:rsid w:val="00491A4D"/>
    <w:rsid w:val="00491ACD"/>
    <w:rsid w:val="00496140"/>
    <w:rsid w:val="004A2923"/>
    <w:rsid w:val="004B0A61"/>
    <w:rsid w:val="004B2086"/>
    <w:rsid w:val="004B3D7B"/>
    <w:rsid w:val="004C3444"/>
    <w:rsid w:val="004D2503"/>
    <w:rsid w:val="004D5B01"/>
    <w:rsid w:val="004D71AA"/>
    <w:rsid w:val="004E09E3"/>
    <w:rsid w:val="004E34F9"/>
    <w:rsid w:val="004E5CEE"/>
    <w:rsid w:val="004F0184"/>
    <w:rsid w:val="004F1C5D"/>
    <w:rsid w:val="004F6A23"/>
    <w:rsid w:val="00501B9F"/>
    <w:rsid w:val="005024C4"/>
    <w:rsid w:val="00502B68"/>
    <w:rsid w:val="0052090D"/>
    <w:rsid w:val="005255B8"/>
    <w:rsid w:val="005302D2"/>
    <w:rsid w:val="005411C6"/>
    <w:rsid w:val="005421D3"/>
    <w:rsid w:val="0054473A"/>
    <w:rsid w:val="005652AF"/>
    <w:rsid w:val="0057529D"/>
    <w:rsid w:val="00575FA1"/>
    <w:rsid w:val="00582258"/>
    <w:rsid w:val="00586C82"/>
    <w:rsid w:val="00592474"/>
    <w:rsid w:val="00593A30"/>
    <w:rsid w:val="00594378"/>
    <w:rsid w:val="0059679D"/>
    <w:rsid w:val="0059774E"/>
    <w:rsid w:val="005A18B8"/>
    <w:rsid w:val="005A26D4"/>
    <w:rsid w:val="005A6C3B"/>
    <w:rsid w:val="005A73CA"/>
    <w:rsid w:val="005B3810"/>
    <w:rsid w:val="005C6A60"/>
    <w:rsid w:val="00607E05"/>
    <w:rsid w:val="00621E8D"/>
    <w:rsid w:val="006250A7"/>
    <w:rsid w:val="006255E0"/>
    <w:rsid w:val="00632F2A"/>
    <w:rsid w:val="00636D36"/>
    <w:rsid w:val="00641D77"/>
    <w:rsid w:val="00646B19"/>
    <w:rsid w:val="006516D9"/>
    <w:rsid w:val="00657ABB"/>
    <w:rsid w:val="00660F32"/>
    <w:rsid w:val="00663545"/>
    <w:rsid w:val="00675585"/>
    <w:rsid w:val="00676B84"/>
    <w:rsid w:val="00682476"/>
    <w:rsid w:val="0068703F"/>
    <w:rsid w:val="0069328A"/>
    <w:rsid w:val="006A20F0"/>
    <w:rsid w:val="006A463D"/>
    <w:rsid w:val="006A7689"/>
    <w:rsid w:val="006C26DE"/>
    <w:rsid w:val="006C4775"/>
    <w:rsid w:val="006C6A29"/>
    <w:rsid w:val="006D289B"/>
    <w:rsid w:val="006E0F07"/>
    <w:rsid w:val="006E1AF0"/>
    <w:rsid w:val="0070219E"/>
    <w:rsid w:val="00702F9E"/>
    <w:rsid w:val="007114B6"/>
    <w:rsid w:val="007123E5"/>
    <w:rsid w:val="00713491"/>
    <w:rsid w:val="0071426F"/>
    <w:rsid w:val="0072372F"/>
    <w:rsid w:val="007271EC"/>
    <w:rsid w:val="0073386A"/>
    <w:rsid w:val="00735834"/>
    <w:rsid w:val="00740D5A"/>
    <w:rsid w:val="007462E1"/>
    <w:rsid w:val="00751077"/>
    <w:rsid w:val="007561A9"/>
    <w:rsid w:val="007652B8"/>
    <w:rsid w:val="00771702"/>
    <w:rsid w:val="007725DC"/>
    <w:rsid w:val="00786E3D"/>
    <w:rsid w:val="00786E55"/>
    <w:rsid w:val="007968A6"/>
    <w:rsid w:val="00796FD1"/>
    <w:rsid w:val="007A1F6F"/>
    <w:rsid w:val="007C192A"/>
    <w:rsid w:val="007C5013"/>
    <w:rsid w:val="007C5DCA"/>
    <w:rsid w:val="007E3515"/>
    <w:rsid w:val="007E524A"/>
    <w:rsid w:val="007F14D6"/>
    <w:rsid w:val="008039C2"/>
    <w:rsid w:val="00812B11"/>
    <w:rsid w:val="00816AD6"/>
    <w:rsid w:val="0082109D"/>
    <w:rsid w:val="008245BD"/>
    <w:rsid w:val="0083786D"/>
    <w:rsid w:val="00845984"/>
    <w:rsid w:val="0085080E"/>
    <w:rsid w:val="00852469"/>
    <w:rsid w:val="008611E5"/>
    <w:rsid w:val="00863EDE"/>
    <w:rsid w:val="00872B77"/>
    <w:rsid w:val="008758EA"/>
    <w:rsid w:val="0089716D"/>
    <w:rsid w:val="008A6366"/>
    <w:rsid w:val="008A6A46"/>
    <w:rsid w:val="008B1D21"/>
    <w:rsid w:val="008C0119"/>
    <w:rsid w:val="008C0F37"/>
    <w:rsid w:val="008C5974"/>
    <w:rsid w:val="008C774E"/>
    <w:rsid w:val="008C7848"/>
    <w:rsid w:val="008C7AF5"/>
    <w:rsid w:val="008C7F6D"/>
    <w:rsid w:val="008D1989"/>
    <w:rsid w:val="008D6301"/>
    <w:rsid w:val="008D7F7E"/>
    <w:rsid w:val="008E2495"/>
    <w:rsid w:val="00912CBB"/>
    <w:rsid w:val="0092563C"/>
    <w:rsid w:val="009323E2"/>
    <w:rsid w:val="009437CD"/>
    <w:rsid w:val="00951048"/>
    <w:rsid w:val="009531CD"/>
    <w:rsid w:val="009563CF"/>
    <w:rsid w:val="009601D9"/>
    <w:rsid w:val="0096309C"/>
    <w:rsid w:val="00963C06"/>
    <w:rsid w:val="00963C27"/>
    <w:rsid w:val="00964C0C"/>
    <w:rsid w:val="00967B6A"/>
    <w:rsid w:val="00983714"/>
    <w:rsid w:val="009855D8"/>
    <w:rsid w:val="009A1309"/>
    <w:rsid w:val="009A14BB"/>
    <w:rsid w:val="009A6D3F"/>
    <w:rsid w:val="009A7F77"/>
    <w:rsid w:val="009B0B9F"/>
    <w:rsid w:val="009B5DB2"/>
    <w:rsid w:val="009B683B"/>
    <w:rsid w:val="009C47A0"/>
    <w:rsid w:val="009E2004"/>
    <w:rsid w:val="009E2CEB"/>
    <w:rsid w:val="009E58F6"/>
    <w:rsid w:val="009F59D4"/>
    <w:rsid w:val="009F613D"/>
    <w:rsid w:val="00A044FC"/>
    <w:rsid w:val="00A05124"/>
    <w:rsid w:val="00A10DDB"/>
    <w:rsid w:val="00A13576"/>
    <w:rsid w:val="00A2331B"/>
    <w:rsid w:val="00A32C47"/>
    <w:rsid w:val="00A46DDD"/>
    <w:rsid w:val="00A52A58"/>
    <w:rsid w:val="00A5302B"/>
    <w:rsid w:val="00A5361C"/>
    <w:rsid w:val="00A5598C"/>
    <w:rsid w:val="00A6516D"/>
    <w:rsid w:val="00A816AF"/>
    <w:rsid w:val="00A96155"/>
    <w:rsid w:val="00AA378A"/>
    <w:rsid w:val="00AA7B87"/>
    <w:rsid w:val="00AB62BB"/>
    <w:rsid w:val="00AC5183"/>
    <w:rsid w:val="00AC6191"/>
    <w:rsid w:val="00AD04D0"/>
    <w:rsid w:val="00AD190F"/>
    <w:rsid w:val="00AD353A"/>
    <w:rsid w:val="00AD3EB8"/>
    <w:rsid w:val="00AE5755"/>
    <w:rsid w:val="00AE701A"/>
    <w:rsid w:val="00B01871"/>
    <w:rsid w:val="00B05F11"/>
    <w:rsid w:val="00B3422B"/>
    <w:rsid w:val="00B36C90"/>
    <w:rsid w:val="00B44609"/>
    <w:rsid w:val="00B53522"/>
    <w:rsid w:val="00B540DC"/>
    <w:rsid w:val="00B55A82"/>
    <w:rsid w:val="00B63FB7"/>
    <w:rsid w:val="00B668BD"/>
    <w:rsid w:val="00B67388"/>
    <w:rsid w:val="00B71ECE"/>
    <w:rsid w:val="00B743F1"/>
    <w:rsid w:val="00B859F8"/>
    <w:rsid w:val="00B92E98"/>
    <w:rsid w:val="00BA0AAC"/>
    <w:rsid w:val="00BB6982"/>
    <w:rsid w:val="00BC3410"/>
    <w:rsid w:val="00BC44FB"/>
    <w:rsid w:val="00BC617C"/>
    <w:rsid w:val="00BE7618"/>
    <w:rsid w:val="00C02379"/>
    <w:rsid w:val="00C1333C"/>
    <w:rsid w:val="00C17EC1"/>
    <w:rsid w:val="00C21AE0"/>
    <w:rsid w:val="00C22C21"/>
    <w:rsid w:val="00C24755"/>
    <w:rsid w:val="00C27EA3"/>
    <w:rsid w:val="00C4142A"/>
    <w:rsid w:val="00C444C9"/>
    <w:rsid w:val="00C45F05"/>
    <w:rsid w:val="00C55FBD"/>
    <w:rsid w:val="00C57634"/>
    <w:rsid w:val="00C6080B"/>
    <w:rsid w:val="00C64208"/>
    <w:rsid w:val="00C648BD"/>
    <w:rsid w:val="00C70B9C"/>
    <w:rsid w:val="00C74284"/>
    <w:rsid w:val="00C7551A"/>
    <w:rsid w:val="00C75BEB"/>
    <w:rsid w:val="00C77B96"/>
    <w:rsid w:val="00C842EB"/>
    <w:rsid w:val="00C86EE8"/>
    <w:rsid w:val="00C9142B"/>
    <w:rsid w:val="00C974F5"/>
    <w:rsid w:val="00CA2EFA"/>
    <w:rsid w:val="00CB2E69"/>
    <w:rsid w:val="00CB2FC7"/>
    <w:rsid w:val="00CB31F3"/>
    <w:rsid w:val="00CC305B"/>
    <w:rsid w:val="00CD1A99"/>
    <w:rsid w:val="00CD398F"/>
    <w:rsid w:val="00CD488C"/>
    <w:rsid w:val="00CD7E54"/>
    <w:rsid w:val="00CE1B2B"/>
    <w:rsid w:val="00CE5994"/>
    <w:rsid w:val="00CF086F"/>
    <w:rsid w:val="00CF12B0"/>
    <w:rsid w:val="00D066E4"/>
    <w:rsid w:val="00D10EA8"/>
    <w:rsid w:val="00D117FC"/>
    <w:rsid w:val="00D17B7A"/>
    <w:rsid w:val="00D20A3B"/>
    <w:rsid w:val="00D2151E"/>
    <w:rsid w:val="00D354A4"/>
    <w:rsid w:val="00D37939"/>
    <w:rsid w:val="00D409DD"/>
    <w:rsid w:val="00D41FB9"/>
    <w:rsid w:val="00D55A4A"/>
    <w:rsid w:val="00D616DA"/>
    <w:rsid w:val="00D63D1D"/>
    <w:rsid w:val="00D645CE"/>
    <w:rsid w:val="00D70123"/>
    <w:rsid w:val="00D73F19"/>
    <w:rsid w:val="00D7643F"/>
    <w:rsid w:val="00D817F9"/>
    <w:rsid w:val="00D8349B"/>
    <w:rsid w:val="00D90A66"/>
    <w:rsid w:val="00DA7284"/>
    <w:rsid w:val="00DA7F4D"/>
    <w:rsid w:val="00DB0776"/>
    <w:rsid w:val="00DB2084"/>
    <w:rsid w:val="00DB64DE"/>
    <w:rsid w:val="00DC21B9"/>
    <w:rsid w:val="00DD3E5D"/>
    <w:rsid w:val="00DD5B5B"/>
    <w:rsid w:val="00DE1598"/>
    <w:rsid w:val="00DE3776"/>
    <w:rsid w:val="00DE4F49"/>
    <w:rsid w:val="00DF129A"/>
    <w:rsid w:val="00DF286E"/>
    <w:rsid w:val="00DF58A3"/>
    <w:rsid w:val="00E02BFE"/>
    <w:rsid w:val="00E06609"/>
    <w:rsid w:val="00E101B0"/>
    <w:rsid w:val="00E15E63"/>
    <w:rsid w:val="00E20511"/>
    <w:rsid w:val="00E24567"/>
    <w:rsid w:val="00E31CB9"/>
    <w:rsid w:val="00E34A6A"/>
    <w:rsid w:val="00E562C7"/>
    <w:rsid w:val="00E64FC4"/>
    <w:rsid w:val="00E702EA"/>
    <w:rsid w:val="00E80CD3"/>
    <w:rsid w:val="00E83E27"/>
    <w:rsid w:val="00E84829"/>
    <w:rsid w:val="00E92E67"/>
    <w:rsid w:val="00EA4244"/>
    <w:rsid w:val="00EA649C"/>
    <w:rsid w:val="00EC3562"/>
    <w:rsid w:val="00EC7F76"/>
    <w:rsid w:val="00EE46F3"/>
    <w:rsid w:val="00EE5576"/>
    <w:rsid w:val="00EE7F8D"/>
    <w:rsid w:val="00EF3C79"/>
    <w:rsid w:val="00F0505C"/>
    <w:rsid w:val="00F11853"/>
    <w:rsid w:val="00F14A38"/>
    <w:rsid w:val="00F1707F"/>
    <w:rsid w:val="00F24B03"/>
    <w:rsid w:val="00F26FD8"/>
    <w:rsid w:val="00F31360"/>
    <w:rsid w:val="00F31546"/>
    <w:rsid w:val="00F37CDF"/>
    <w:rsid w:val="00F419A8"/>
    <w:rsid w:val="00F433F8"/>
    <w:rsid w:val="00F51B50"/>
    <w:rsid w:val="00F5433C"/>
    <w:rsid w:val="00F548BE"/>
    <w:rsid w:val="00F71448"/>
    <w:rsid w:val="00F834D6"/>
    <w:rsid w:val="00F83B84"/>
    <w:rsid w:val="00FA64DE"/>
    <w:rsid w:val="00FB5FF3"/>
    <w:rsid w:val="00FC0EE8"/>
    <w:rsid w:val="00FC5960"/>
    <w:rsid w:val="00FD0A23"/>
    <w:rsid w:val="00FD1165"/>
    <w:rsid w:val="00FE1389"/>
    <w:rsid w:val="00FE6196"/>
    <w:rsid w:val="00FE64A4"/>
    <w:rsid w:val="00FE79A8"/>
    <w:rsid w:val="00FF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800484"/>
  <w15:chartTrackingRefBased/>
  <w15:docId w15:val="{33A25B75-9CEC-4855-A72C-BE3EC8D3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961"/>
  </w:style>
  <w:style w:type="paragraph" w:styleId="Heading1">
    <w:name w:val="heading 1"/>
    <w:basedOn w:val="Normal"/>
    <w:next w:val="Normal"/>
    <w:link w:val="Heading1Char"/>
    <w:qFormat/>
    <w:rsid w:val="001327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0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1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36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A73CA"/>
    <w:pPr>
      <w:ind w:left="720"/>
      <w:contextualSpacing/>
    </w:pPr>
  </w:style>
  <w:style w:type="paragraph" w:styleId="NoSpacing">
    <w:name w:val="No Spacing"/>
    <w:uiPriority w:val="1"/>
    <w:qFormat/>
    <w:rsid w:val="00663545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13270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character" w:customStyle="1" w:styleId="TitleChar">
    <w:name w:val="Title Char"/>
    <w:basedOn w:val="DefaultParagraphFont"/>
    <w:link w:val="Title"/>
    <w:rsid w:val="00132702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character" w:customStyle="1" w:styleId="Heading1Char">
    <w:name w:val="Heading 1 Char"/>
    <w:basedOn w:val="DefaultParagraphFont"/>
    <w:link w:val="Heading1"/>
    <w:rsid w:val="00132702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BodyText">
    <w:name w:val="Body Text"/>
    <w:basedOn w:val="Normal"/>
    <w:link w:val="BodyTextChar"/>
    <w:unhideWhenUsed/>
    <w:rsid w:val="00EE7F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rsid w:val="00EE7F8D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contentpasted0">
    <w:name w:val="contentpasted0"/>
    <w:basedOn w:val="DefaultParagraphFont"/>
    <w:rsid w:val="003F6631"/>
  </w:style>
  <w:style w:type="paragraph" w:styleId="Header">
    <w:name w:val="header"/>
    <w:basedOn w:val="Normal"/>
    <w:link w:val="HeaderChar"/>
    <w:uiPriority w:val="99"/>
    <w:unhideWhenUsed/>
    <w:rsid w:val="00CF1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2B0"/>
  </w:style>
  <w:style w:type="paragraph" w:styleId="Footer">
    <w:name w:val="footer"/>
    <w:basedOn w:val="Normal"/>
    <w:link w:val="FooterChar"/>
    <w:uiPriority w:val="99"/>
    <w:unhideWhenUsed/>
    <w:rsid w:val="00CF1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4FD59-6AA0-4BBC-9BF1-31F3D5280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2347</Words>
  <Characters>13383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hRVATSKO NARODNO KAZALIŠTE</vt:lpstr>
    </vt:vector>
  </TitlesOfParts>
  <Company/>
  <LinksUpToDate>false</LinksUpToDate>
  <CharactersWithSpaces>15699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hRVATSKO NARODNO KAZALIŠTE</dc:title>
  <dc:subject>Bilješke uz financijske izvještaje 2022. godina</dc:subject>
  <dc:creator>Nevenka Mrakovcic</dc:creator>
  <cp:keywords/>
  <dc:description/>
  <cp:lastModifiedBy>PAOLA BELTRAME</cp:lastModifiedBy>
  <cp:revision>20</cp:revision>
  <cp:lastPrinted>2023-02-14T18:40:00Z</cp:lastPrinted>
  <dcterms:created xsi:type="dcterms:W3CDTF">2023-01-31T14:59:00Z</dcterms:created>
  <dcterms:modified xsi:type="dcterms:W3CDTF">2023-02-14T18:41:00Z</dcterms:modified>
</cp:coreProperties>
</file>